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560" w:lineRule="exact"/>
        <w:jc w:val="center"/>
        <w:rPr>
          <w:rFonts w:ascii="仿宋_GB2312" w:eastAsia="仿宋_GB2312"/>
          <w:sz w:val="32"/>
          <w:szCs w:val="32"/>
        </w:rPr>
      </w:pPr>
      <w:bookmarkStart w:id="0" w:name="_Toc530259513_WPSOffice_Level1"/>
    </w:p>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r>
        <w:rPr>
          <w:rFonts w:hint="eastAsia" w:ascii="仿宋_GB2312" w:eastAsia="仿宋_GB2312" w:cs="仿宋_GB2312"/>
          <w:sz w:val="32"/>
          <w:szCs w:val="32"/>
        </w:rPr>
        <w:t>延政办〔</w:t>
      </w:r>
      <w:r>
        <w:rPr>
          <w:rFonts w:ascii="仿宋_GB2312" w:eastAsia="仿宋_GB2312" w:cs="仿宋_GB2312"/>
          <w:sz w:val="32"/>
          <w:szCs w:val="32"/>
        </w:rPr>
        <w:t>202</w:t>
      </w:r>
      <w:r>
        <w:rPr>
          <w:rFonts w:hint="default" w:ascii="仿宋_GB2312" w:eastAsia="仿宋_GB2312" w:cs="仿宋_GB2312"/>
          <w:sz w:val="32"/>
          <w:szCs w:val="32"/>
          <w:lang w:val="en"/>
        </w:rPr>
        <w:t>2</w:t>
      </w:r>
      <w:r>
        <w:rPr>
          <w:rFonts w:hint="eastAsia" w:ascii="仿宋_GB2312" w:eastAsia="仿宋_GB2312" w:cs="仿宋_GB2312"/>
          <w:sz w:val="32"/>
          <w:szCs w:val="32"/>
        </w:rPr>
        <w:t>〕</w:t>
      </w:r>
      <w:r>
        <w:rPr>
          <w:rFonts w:hint="eastAsia" w:ascii="仿宋_GB2312" w:eastAsia="仿宋_GB2312" w:cs="仿宋_GB2312"/>
          <w:sz w:val="32"/>
          <w:szCs w:val="32"/>
          <w:lang w:val="en-US" w:eastAsia="zh-CN"/>
        </w:rPr>
        <w:t>26</w:t>
      </w:r>
      <w:bookmarkStart w:id="71" w:name="_GoBack"/>
      <w:bookmarkEnd w:id="71"/>
      <w:r>
        <w:rPr>
          <w:rFonts w:hint="eastAsia" w:ascii="仿宋_GB2312" w:eastAsia="仿宋_GB2312" w:cs="仿宋_GB2312"/>
          <w:sz w:val="32"/>
          <w:szCs w:val="32"/>
        </w:rPr>
        <w:t>号</w:t>
      </w:r>
    </w:p>
    <w:p>
      <w:pPr>
        <w:spacing w:line="560" w:lineRule="exact"/>
        <w:jc w:val="center"/>
        <w:rPr>
          <w:rFonts w:ascii="文星标宋" w:eastAsia="文星标宋"/>
          <w:sz w:val="44"/>
          <w:szCs w:val="44"/>
        </w:rPr>
      </w:pPr>
    </w:p>
    <w:p>
      <w:pPr>
        <w:spacing w:line="560" w:lineRule="exact"/>
        <w:jc w:val="center"/>
        <w:rPr>
          <w:rFonts w:ascii="文星标宋" w:eastAsia="文星标宋"/>
          <w:sz w:val="44"/>
          <w:szCs w:val="44"/>
        </w:rPr>
      </w:pPr>
    </w:p>
    <w:p>
      <w:pPr>
        <w:keepNext w:val="0"/>
        <w:keepLines w:val="0"/>
        <w:pageBreakBefore w:val="0"/>
        <w:widowControl w:val="0"/>
        <w:kinsoku/>
        <w:wordWrap/>
        <w:overflowPunct/>
        <w:topLinePunct w:val="0"/>
        <w:bidi w:val="0"/>
        <w:adjustRightInd/>
        <w:spacing w:line="560" w:lineRule="exact"/>
        <w:ind w:right="0" w:rightChars="0"/>
        <w:jc w:val="center"/>
        <w:textAlignment w:val="auto"/>
        <w:outlineLvl w:val="9"/>
        <w:rPr>
          <w:rFonts w:hint="eastAsia" w:ascii="文星标宋" w:hAnsi="文星标宋" w:eastAsia="文星标宋" w:cs="文星标宋"/>
          <w:b w:val="0"/>
          <w:bCs w:val="0"/>
          <w:spacing w:val="0"/>
          <w:kern w:val="2"/>
          <w:sz w:val="44"/>
          <w:szCs w:val="44"/>
          <w:lang w:val="en-US" w:eastAsia="zh-CN" w:bidi="ar-SA"/>
        </w:rPr>
      </w:pPr>
      <w:r>
        <w:rPr>
          <w:rFonts w:hint="eastAsia" w:ascii="文星标宋" w:hAnsi="文星标宋" w:eastAsia="文星标宋" w:cs="文星标宋"/>
          <w:b w:val="0"/>
          <w:bCs w:val="0"/>
          <w:spacing w:val="0"/>
          <w:kern w:val="2"/>
          <w:sz w:val="44"/>
          <w:szCs w:val="44"/>
          <w:lang w:val="en-US" w:eastAsia="zh-CN" w:bidi="ar-SA"/>
        </w:rPr>
        <w:t>延津县人民政府办公室</w:t>
      </w:r>
    </w:p>
    <w:p>
      <w:pPr>
        <w:keepNext w:val="0"/>
        <w:keepLines w:val="0"/>
        <w:pageBreakBefore w:val="0"/>
        <w:widowControl w:val="0"/>
        <w:kinsoku/>
        <w:wordWrap/>
        <w:overflowPunct/>
        <w:topLinePunct w:val="0"/>
        <w:bidi w:val="0"/>
        <w:adjustRightInd/>
        <w:spacing w:line="560" w:lineRule="exact"/>
        <w:ind w:right="0" w:rightChars="0"/>
        <w:jc w:val="center"/>
        <w:textAlignment w:val="auto"/>
        <w:outlineLvl w:val="9"/>
        <w:rPr>
          <w:rFonts w:hint="eastAsia" w:ascii="文星标宋" w:hAnsi="文星标宋" w:eastAsia="文星标宋" w:cs="文星标宋"/>
          <w:b w:val="0"/>
          <w:bCs w:val="0"/>
          <w:spacing w:val="-6"/>
          <w:kern w:val="2"/>
          <w:sz w:val="44"/>
          <w:szCs w:val="44"/>
          <w:lang w:val="en-US" w:eastAsia="zh-CN" w:bidi="ar-SA"/>
        </w:rPr>
      </w:pPr>
      <w:r>
        <w:rPr>
          <w:rFonts w:hint="eastAsia" w:ascii="文星标宋" w:hAnsi="文星标宋" w:eastAsia="文星标宋" w:cs="文星标宋"/>
          <w:b w:val="0"/>
          <w:bCs w:val="0"/>
          <w:spacing w:val="-6"/>
          <w:kern w:val="2"/>
          <w:sz w:val="44"/>
          <w:szCs w:val="44"/>
          <w:lang w:val="en-US" w:eastAsia="zh-CN" w:bidi="ar-SA"/>
        </w:rPr>
        <w:t>关于印发《</w:t>
      </w:r>
      <w:r>
        <w:rPr>
          <w:rFonts w:hint="eastAsia" w:ascii="文星标宋" w:hAnsi="文星标宋" w:eastAsia="文星标宋" w:cs="文星标宋"/>
          <w:color w:val="auto"/>
          <w:spacing w:val="-6"/>
          <w:sz w:val="44"/>
          <w:szCs w:val="44"/>
        </w:rPr>
        <w:t>延津县“十四五”质量强县建设规划</w:t>
      </w:r>
      <w:r>
        <w:rPr>
          <w:rFonts w:hint="eastAsia" w:ascii="文星标宋" w:hAnsi="文星标宋" w:eastAsia="文星标宋" w:cs="文星标宋"/>
          <w:b w:val="0"/>
          <w:bCs w:val="0"/>
          <w:spacing w:val="-6"/>
          <w:kern w:val="2"/>
          <w:sz w:val="44"/>
          <w:szCs w:val="44"/>
          <w:lang w:val="en-US" w:eastAsia="zh-CN" w:bidi="ar-SA"/>
        </w:rPr>
        <w:t>》</w:t>
      </w:r>
    </w:p>
    <w:p>
      <w:pPr>
        <w:keepNext w:val="0"/>
        <w:keepLines w:val="0"/>
        <w:pageBreakBefore w:val="0"/>
        <w:widowControl w:val="0"/>
        <w:kinsoku/>
        <w:wordWrap/>
        <w:overflowPunct/>
        <w:topLinePunct w:val="0"/>
        <w:bidi w:val="0"/>
        <w:adjustRightInd/>
        <w:spacing w:line="560" w:lineRule="exact"/>
        <w:ind w:right="0" w:rightChars="0"/>
        <w:jc w:val="center"/>
        <w:textAlignment w:val="auto"/>
        <w:outlineLvl w:val="9"/>
        <w:rPr>
          <w:rFonts w:hint="eastAsia" w:ascii="文星标宋" w:hAnsi="文星标宋" w:eastAsia="文星标宋" w:cs="文星标宋"/>
          <w:b w:val="0"/>
          <w:bCs w:val="0"/>
          <w:spacing w:val="-11"/>
          <w:kern w:val="2"/>
          <w:sz w:val="44"/>
          <w:szCs w:val="44"/>
          <w:lang w:val="en-US" w:eastAsia="zh-CN" w:bidi="ar-SA"/>
        </w:rPr>
      </w:pPr>
      <w:r>
        <w:rPr>
          <w:rFonts w:hint="eastAsia" w:ascii="文星标宋" w:hAnsi="文星标宋" w:eastAsia="文星标宋" w:cs="文星标宋"/>
          <w:b w:val="0"/>
          <w:bCs w:val="0"/>
          <w:spacing w:val="-11"/>
          <w:kern w:val="2"/>
          <w:sz w:val="44"/>
          <w:szCs w:val="44"/>
          <w:lang w:val="en-US" w:eastAsia="zh-CN" w:bidi="ar-SA"/>
        </w:rPr>
        <w:t>的通知</w:t>
      </w:r>
    </w:p>
    <w:p>
      <w:pPr>
        <w:keepNext w:val="0"/>
        <w:keepLines w:val="0"/>
        <w:pageBreakBefore w:val="0"/>
        <w:widowControl w:val="0"/>
        <w:kinsoku/>
        <w:wordWrap/>
        <w:overflowPunct/>
        <w:topLinePunct w:val="0"/>
        <w:autoSpaceDE/>
        <w:autoSpaceDN/>
        <w:bidi w:val="0"/>
        <w:adjustRightInd/>
        <w:snapToGrid/>
        <w:spacing w:line="540" w:lineRule="exact"/>
        <w:ind w:left="0"/>
        <w:jc w:val="both"/>
        <w:textAlignment w:val="auto"/>
        <w:outlineLvl w:val="9"/>
        <w:rPr>
          <w:rFonts w:hint="eastAsia" w:ascii="仿宋_GB2312" w:eastAsia="仿宋_GB2312"/>
          <w:spacing w:val="6"/>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jc w:val="both"/>
        <w:textAlignment w:val="auto"/>
        <w:outlineLvl w:val="9"/>
        <w:rPr>
          <w:rFonts w:hint="eastAsia" w:ascii="仿宋_GB2312" w:hAnsi="仿宋_GB2312" w:eastAsia="仿宋_GB2312" w:cs="仿宋_GB2312"/>
          <w:spacing w:val="-11"/>
          <w:sz w:val="32"/>
          <w:szCs w:val="32"/>
        </w:rPr>
      </w:pPr>
      <w:r>
        <w:rPr>
          <w:rFonts w:hint="eastAsia" w:ascii="仿宋_GB2312" w:hAnsi="仿宋_GB2312" w:eastAsia="仿宋_GB2312" w:cs="仿宋_GB2312"/>
          <w:spacing w:val="-11"/>
          <w:sz w:val="32"/>
          <w:szCs w:val="32"/>
        </w:rPr>
        <w:t>各乡（镇）人民政府、街道办事处，县产业集聚区，县直</w:t>
      </w:r>
      <w:r>
        <w:rPr>
          <w:rFonts w:hint="eastAsia" w:ascii="仿宋_GB2312" w:hAnsi="仿宋_GB2312" w:eastAsia="仿宋_GB2312" w:cs="仿宋_GB2312"/>
          <w:spacing w:val="-11"/>
          <w:sz w:val="32"/>
          <w:szCs w:val="32"/>
          <w:lang w:eastAsia="zh-CN"/>
        </w:rPr>
        <w:t>各</w:t>
      </w:r>
      <w:r>
        <w:rPr>
          <w:rFonts w:hint="eastAsia" w:ascii="仿宋_GB2312" w:hAnsi="仿宋_GB2312" w:eastAsia="仿宋_GB2312" w:cs="仿宋_GB2312"/>
          <w:spacing w:val="-11"/>
          <w:sz w:val="32"/>
          <w:szCs w:val="32"/>
        </w:rPr>
        <w:t>单位：</w:t>
      </w:r>
    </w:p>
    <w:p>
      <w:pPr>
        <w:keepNext w:val="0"/>
        <w:keepLines w:val="0"/>
        <w:pageBreakBefore w:val="0"/>
        <w:widowControl w:val="0"/>
        <w:kinsoku/>
        <w:wordWrap/>
        <w:overflowPunct/>
        <w:topLinePunct w:val="0"/>
        <w:bidi w:val="0"/>
        <w:adjustRightInd/>
        <w:spacing w:line="560" w:lineRule="exact"/>
        <w:ind w:left="0" w:leftChars="0" w:right="0" w:rightChars="0" w:firstLine="640" w:firstLineChars="200"/>
        <w:jc w:val="both"/>
        <w:textAlignment w:val="auto"/>
        <w:outlineLvl w:val="9"/>
        <w:rPr>
          <w:rFonts w:hint="eastAsia" w:ascii="仿宋_GB2312" w:hAnsi="仿宋_GB2312" w:eastAsia="仿宋_GB2312" w:cs="仿宋_GB2312"/>
          <w:spacing w:val="10"/>
          <w:sz w:val="32"/>
          <w:szCs w:val="32"/>
          <w:lang w:eastAsia="zh-CN"/>
        </w:rPr>
      </w:pPr>
      <w:r>
        <w:rPr>
          <w:rFonts w:hint="eastAsia" w:ascii="仿宋_GB2312" w:hAnsi="仿宋_GB2312" w:eastAsia="仿宋_GB2312" w:cs="仿宋_GB2312"/>
          <w:color w:val="auto"/>
          <w:spacing w:val="0"/>
          <w:sz w:val="32"/>
          <w:szCs w:val="32"/>
        </w:rPr>
        <w:t>《延津县“十四五”质量强县建设规划》</w:t>
      </w:r>
      <w:r>
        <w:rPr>
          <w:rFonts w:hint="eastAsia" w:ascii="仿宋_GB2312" w:hAnsi="仿宋_GB2312" w:eastAsia="仿宋_GB2312" w:cs="仿宋_GB2312"/>
          <w:color w:val="auto"/>
          <w:spacing w:val="0"/>
          <w:sz w:val="32"/>
          <w:szCs w:val="32"/>
          <w:lang w:eastAsia="zh-CN"/>
        </w:rPr>
        <w:t>已经县政府研究同意，现印发给你们，请认真贯彻落实。</w:t>
      </w:r>
    </w:p>
    <w:p>
      <w:pPr>
        <w:keepNext w:val="0"/>
        <w:keepLines w:val="0"/>
        <w:pageBreakBefore w:val="0"/>
        <w:widowControl w:val="0"/>
        <w:kinsoku/>
        <w:wordWrap/>
        <w:overflowPunct/>
        <w:topLinePunct w:val="0"/>
        <w:bidi w:val="0"/>
        <w:adjustRightInd/>
        <w:spacing w:line="560" w:lineRule="exact"/>
        <w:ind w:left="0" w:leftChars="0" w:right="0" w:rightChars="0" w:firstLine="640" w:firstLineChars="200"/>
        <w:jc w:val="both"/>
        <w:textAlignment w:val="auto"/>
        <w:outlineLvl w:val="9"/>
        <w:rPr>
          <w:rFonts w:hint="eastAsia" w:ascii="仿宋_GB2312" w:hAnsi="仿宋_GB2312" w:eastAsia="仿宋_GB2312" w:cs="仿宋_GB2312"/>
          <w:spacing w:val="0"/>
          <w:kern w:val="2"/>
          <w:sz w:val="32"/>
          <w:szCs w:val="32"/>
          <w:lang w:val="en-US" w:eastAsia="zh-CN" w:bidi="ar-SA"/>
        </w:rPr>
      </w:pPr>
      <w:r>
        <w:rPr>
          <w:rFonts w:hint="eastAsia" w:ascii="仿宋_GB2312" w:hAnsi="仿宋_GB2312" w:eastAsia="仿宋_GB2312" w:cs="仿宋_GB2312"/>
          <w:spacing w:val="0"/>
          <w:kern w:val="2"/>
          <w:sz w:val="32"/>
          <w:szCs w:val="32"/>
          <w:lang w:val="en-US" w:eastAsia="zh-CN" w:bidi="ar-SA"/>
        </w:rPr>
        <w:t xml:space="preserve">                        </w:t>
      </w:r>
    </w:p>
    <w:p>
      <w:pPr>
        <w:keepNext w:val="0"/>
        <w:keepLines w:val="0"/>
        <w:pageBreakBefore w:val="0"/>
        <w:widowControl w:val="0"/>
        <w:kinsoku/>
        <w:wordWrap/>
        <w:overflowPunct/>
        <w:topLinePunct w:val="0"/>
        <w:bidi w:val="0"/>
        <w:adjustRightInd/>
        <w:spacing w:line="560" w:lineRule="exact"/>
        <w:ind w:left="0" w:leftChars="0" w:right="0" w:rightChars="0" w:firstLine="640" w:firstLineChars="200"/>
        <w:jc w:val="both"/>
        <w:textAlignment w:val="auto"/>
        <w:outlineLvl w:val="9"/>
        <w:rPr>
          <w:rFonts w:hint="eastAsia" w:ascii="仿宋_GB2312" w:hAnsi="仿宋_GB2312" w:eastAsia="仿宋_GB2312" w:cs="仿宋_GB2312"/>
          <w:spacing w:val="0"/>
          <w:kern w:val="2"/>
          <w:sz w:val="32"/>
          <w:szCs w:val="32"/>
          <w:lang w:val="en-US" w:eastAsia="zh-CN" w:bidi="ar-SA"/>
        </w:rPr>
      </w:pPr>
    </w:p>
    <w:p>
      <w:pPr>
        <w:keepNext w:val="0"/>
        <w:keepLines w:val="0"/>
        <w:pageBreakBefore w:val="0"/>
        <w:widowControl w:val="0"/>
        <w:kinsoku/>
        <w:wordWrap/>
        <w:overflowPunct/>
        <w:topLinePunct w:val="0"/>
        <w:bidi w:val="0"/>
        <w:adjustRightInd/>
        <w:spacing w:line="560" w:lineRule="exact"/>
        <w:ind w:left="0" w:leftChars="0" w:right="0" w:rightChars="0" w:firstLine="640" w:firstLineChars="200"/>
        <w:jc w:val="both"/>
        <w:textAlignment w:val="auto"/>
        <w:outlineLvl w:val="9"/>
        <w:rPr>
          <w:rFonts w:hint="eastAsia" w:ascii="仿宋_GB2312" w:hAnsi="仿宋_GB2312" w:eastAsia="仿宋_GB2312" w:cs="仿宋_GB2312"/>
          <w:spacing w:val="0"/>
          <w:kern w:val="2"/>
          <w:sz w:val="32"/>
          <w:szCs w:val="32"/>
          <w:lang w:val="en-US" w:eastAsia="zh-CN" w:bidi="ar-SA"/>
        </w:rPr>
      </w:pPr>
      <w:r>
        <w:rPr>
          <w:rFonts w:hint="eastAsia" w:ascii="仿宋_GB2312" w:hAnsi="仿宋_GB2312" w:eastAsia="仿宋_GB2312" w:cs="仿宋_GB2312"/>
          <w:spacing w:val="0"/>
          <w:kern w:val="2"/>
          <w:sz w:val="32"/>
          <w:szCs w:val="32"/>
          <w:lang w:val="en-US" w:eastAsia="zh-CN" w:bidi="ar-SA"/>
        </w:rPr>
        <w:t xml:space="preserve">                          延津县人民政府办公室</w:t>
      </w:r>
    </w:p>
    <w:p>
      <w:pPr>
        <w:keepNext w:val="0"/>
        <w:keepLines w:val="0"/>
        <w:pageBreakBefore w:val="0"/>
        <w:widowControl w:val="0"/>
        <w:kinsoku/>
        <w:wordWrap/>
        <w:overflowPunct/>
        <w:topLinePunct w:val="0"/>
        <w:bidi w:val="0"/>
        <w:adjustRightInd/>
        <w:spacing w:line="560" w:lineRule="exact"/>
        <w:ind w:left="0" w:leftChars="0" w:right="0" w:rightChars="0" w:firstLine="640" w:firstLineChars="200"/>
        <w:jc w:val="both"/>
        <w:textAlignment w:val="auto"/>
        <w:outlineLvl w:val="9"/>
        <w:rPr>
          <w:rFonts w:hint="eastAsia" w:ascii="仿宋_GB2312" w:hAnsi="仿宋_GB2312" w:eastAsia="仿宋_GB2312" w:cs="仿宋_GB2312"/>
          <w:spacing w:val="0"/>
          <w:kern w:val="2"/>
          <w:sz w:val="32"/>
          <w:szCs w:val="32"/>
          <w:lang w:val="en-US" w:eastAsia="zh-CN" w:bidi="ar-SA"/>
        </w:rPr>
      </w:pPr>
      <w:r>
        <w:rPr>
          <w:rFonts w:hint="eastAsia" w:ascii="仿宋_GB2312" w:hAnsi="仿宋_GB2312" w:eastAsia="仿宋_GB2312" w:cs="仿宋_GB2312"/>
          <w:spacing w:val="0"/>
          <w:kern w:val="2"/>
          <w:sz w:val="32"/>
          <w:szCs w:val="32"/>
          <w:lang w:val="en-US" w:eastAsia="zh-CN" w:bidi="ar-SA"/>
        </w:rPr>
        <w:t xml:space="preserve">                              2022 年5月16日</w:t>
      </w:r>
    </w:p>
    <w:p>
      <w:pPr>
        <w:keepNext w:val="0"/>
        <w:keepLines w:val="0"/>
        <w:pageBreakBefore w:val="0"/>
        <w:widowControl w:val="0"/>
        <w:kinsoku/>
        <w:wordWrap/>
        <w:overflowPunct/>
        <w:topLinePunct/>
        <w:autoSpaceDE/>
        <w:autoSpaceDN/>
        <w:bidi w:val="0"/>
        <w:adjustRightInd w:val="0"/>
        <w:snapToGrid w:val="0"/>
        <w:spacing w:beforeAutospacing="0" w:afterAutospacing="0" w:line="560" w:lineRule="exact"/>
        <w:ind w:left="0" w:right="0" w:firstLine="680" w:firstLineChars="200"/>
        <w:jc w:val="both"/>
        <w:textAlignment w:val="auto"/>
        <w:outlineLvl w:val="9"/>
        <w:rPr>
          <w:rFonts w:hint="eastAsia" w:ascii="仿宋_GB2312" w:hAnsi="仿宋_GB2312" w:eastAsia="仿宋_GB2312" w:cs="仿宋_GB2312"/>
          <w:spacing w:val="10"/>
          <w:sz w:val="32"/>
          <w:szCs w:val="32"/>
          <w:lang w:val="en-US" w:eastAsia="zh-CN"/>
        </w:rPr>
      </w:pPr>
      <w:r>
        <w:rPr>
          <w:rFonts w:hint="eastAsia" w:ascii="仿宋_GB2312" w:hAnsi="仿宋_GB2312" w:eastAsia="仿宋_GB2312" w:cs="仿宋_GB2312"/>
          <w:spacing w:val="10"/>
          <w:sz w:val="32"/>
          <w:szCs w:val="32"/>
          <w:lang w:val="en-US" w:eastAsia="zh-CN"/>
        </w:rPr>
        <w:t xml:space="preserve">     </w:t>
      </w:r>
    </w:p>
    <w:p>
      <w:pPr>
        <w:pStyle w:val="18"/>
        <w:keepNext w:val="0"/>
        <w:keepLines w:val="0"/>
        <w:pageBreakBefore w:val="0"/>
        <w:widowControl w:val="0"/>
        <w:kinsoku/>
        <w:wordWrap/>
        <w:overflowPunct/>
        <w:bidi w:val="0"/>
        <w:spacing w:line="560" w:lineRule="exact"/>
        <w:jc w:val="both"/>
        <w:textAlignment w:val="auto"/>
        <w:rPr>
          <w:rFonts w:hint="eastAsia"/>
          <w:lang w:val="en-US" w:eastAsia="zh-CN"/>
        </w:rPr>
      </w:pPr>
    </w:p>
    <w:p>
      <w:pPr>
        <w:keepNext w:val="0"/>
        <w:keepLines w:val="0"/>
        <w:pageBreakBefore w:val="0"/>
        <w:widowControl w:val="0"/>
        <w:kinsoku w:val="0"/>
        <w:wordWrap/>
        <w:overflowPunct/>
        <w:topLinePunct w:val="0"/>
        <w:autoSpaceDE w:val="0"/>
        <w:autoSpaceDN w:val="0"/>
        <w:bidi w:val="0"/>
        <w:adjustRightInd w:val="0"/>
        <w:snapToGrid w:val="0"/>
        <w:spacing w:beforeAutospacing="0" w:afterAutospacing="0" w:line="560" w:lineRule="exact"/>
        <w:jc w:val="center"/>
        <w:textAlignment w:val="baseline"/>
        <w:outlineLvl w:val="9"/>
        <w:rPr>
          <w:rFonts w:hint="eastAsia" w:ascii="文星标宋" w:hAnsi="文星标宋" w:eastAsia="文星标宋" w:cs="文星标宋"/>
          <w:color w:val="auto"/>
          <w:spacing w:val="-15"/>
          <w:sz w:val="44"/>
          <w:szCs w:val="44"/>
        </w:rPr>
      </w:pPr>
    </w:p>
    <w:p>
      <w:pPr>
        <w:keepNext w:val="0"/>
        <w:keepLines w:val="0"/>
        <w:pageBreakBefore w:val="0"/>
        <w:widowControl w:val="0"/>
        <w:kinsoku w:val="0"/>
        <w:wordWrap/>
        <w:overflowPunct/>
        <w:topLinePunct w:val="0"/>
        <w:autoSpaceDE w:val="0"/>
        <w:autoSpaceDN w:val="0"/>
        <w:bidi w:val="0"/>
        <w:adjustRightInd w:val="0"/>
        <w:snapToGrid w:val="0"/>
        <w:spacing w:beforeAutospacing="0" w:afterAutospacing="0" w:line="560" w:lineRule="exact"/>
        <w:jc w:val="center"/>
        <w:textAlignment w:val="baseline"/>
        <w:outlineLvl w:val="9"/>
        <w:rPr>
          <w:rFonts w:hint="eastAsia" w:ascii="文星标宋" w:hAnsi="文星标宋" w:eastAsia="文星标宋" w:cs="文星标宋"/>
          <w:color w:val="auto"/>
          <w:spacing w:val="-15"/>
          <w:sz w:val="44"/>
          <w:szCs w:val="44"/>
        </w:rPr>
      </w:pPr>
      <w:r>
        <w:rPr>
          <w:rFonts w:hint="eastAsia" w:ascii="文星标宋" w:hAnsi="文星标宋" w:eastAsia="文星标宋" w:cs="文星标宋"/>
          <w:color w:val="auto"/>
          <w:spacing w:val="-15"/>
          <w:sz w:val="44"/>
          <w:szCs w:val="44"/>
        </w:rPr>
        <w:t>延津县“十四五”质量强县建设规划</w:t>
      </w:r>
      <w:bookmarkEnd w:id="0"/>
    </w:p>
    <w:p>
      <w:pPr>
        <w:pStyle w:val="18"/>
        <w:rPr>
          <w:rFonts w:hint="eastAsia"/>
        </w:rPr>
      </w:pPr>
    </w:p>
    <w:p>
      <w:pPr>
        <w:keepNext w:val="0"/>
        <w:keepLines w:val="0"/>
        <w:pageBreakBefore w:val="0"/>
        <w:widowControl w:val="0"/>
        <w:kinsoku/>
        <w:wordWrap/>
        <w:overflowPunct/>
        <w:topLinePunct/>
        <w:autoSpaceDE/>
        <w:autoSpaceDN/>
        <w:bidi w:val="0"/>
        <w:adjustRightInd w:val="0"/>
        <w:snapToGrid w:val="0"/>
        <w:spacing w:beforeAutospacing="0" w:afterAutospacing="0" w:line="560" w:lineRule="exact"/>
        <w:ind w:left="0" w:right="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为深入贯彻党的十九大和十九届二中、三中</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四中、五中、六中全会精神，认真落实习近平总书记关于河南系列高质量发展重要讲话指示精神，推动质量强国</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质量强</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建设</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按照《河南省人民政府关于推动三个转变建设质量强省的实施意见》（豫政 〔2015〕29号）及《</w:t>
      </w:r>
      <w:r>
        <w:rPr>
          <w:rFonts w:hint="eastAsia" w:ascii="仿宋_GB2312" w:hAnsi="仿宋_GB2312" w:eastAsia="仿宋_GB2312" w:cs="仿宋_GB2312"/>
          <w:color w:val="auto"/>
          <w:spacing w:val="0"/>
          <w:sz w:val="32"/>
          <w:szCs w:val="32"/>
          <w:lang w:eastAsia="zh-CN"/>
        </w:rPr>
        <w:t>新乡市委  新乡市人民政府关于开展质量提升行动的实施意见》(新发〔2018〕11号</w:t>
      </w:r>
      <w:r>
        <w:rPr>
          <w:rFonts w:hint="eastAsia" w:ascii="仿宋_GB2312" w:hAnsi="仿宋_GB2312" w:eastAsia="仿宋_GB2312" w:cs="仿宋_GB2312"/>
          <w:color w:val="auto"/>
          <w:spacing w:val="0"/>
          <w:sz w:val="32"/>
          <w:szCs w:val="32"/>
        </w:rPr>
        <w:t>）工作要求，依据</w:t>
      </w:r>
      <w:r>
        <w:rPr>
          <w:rFonts w:hint="eastAsia" w:ascii="仿宋_GB2312" w:hAnsi="仿宋_GB2312" w:eastAsia="仿宋_GB2312" w:cs="仿宋_GB2312"/>
          <w:color w:val="auto"/>
          <w:spacing w:val="0"/>
          <w:sz w:val="32"/>
          <w:szCs w:val="32"/>
          <w:lang w:val="en-US" w:eastAsia="zh-CN"/>
        </w:rPr>
        <w:t>《延津县国民经济和社会发展第十四个五年规划和二〇三五年远景目标纲要》，</w:t>
      </w:r>
      <w:r>
        <w:rPr>
          <w:rFonts w:hint="eastAsia" w:ascii="仿宋_GB2312" w:hAnsi="仿宋_GB2312" w:eastAsia="仿宋_GB2312" w:cs="仿宋_GB2312"/>
          <w:color w:val="auto"/>
          <w:spacing w:val="0"/>
          <w:sz w:val="32"/>
          <w:szCs w:val="32"/>
        </w:rPr>
        <w:t>立足我</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实际，制定了本规划。</w:t>
      </w:r>
    </w:p>
    <w:p>
      <w:pPr>
        <w:keepNext w:val="0"/>
        <w:keepLines w:val="0"/>
        <w:pageBreakBefore w:val="0"/>
        <w:widowControl w:val="0"/>
        <w:kinsoku/>
        <w:wordWrap/>
        <w:overflowPunct/>
        <w:topLinePunct/>
        <w:autoSpaceDE/>
        <w:autoSpaceDN/>
        <w:bidi w:val="0"/>
        <w:adjustRightInd w:val="0"/>
        <w:snapToGrid w:val="0"/>
        <w:spacing w:beforeAutospacing="0" w:afterAutospacing="0" w:line="560" w:lineRule="exact"/>
        <w:ind w:left="0" w:right="0" w:firstLine="640" w:firstLineChars="200"/>
        <w:jc w:val="both"/>
        <w:textAlignment w:val="auto"/>
        <w:outlineLvl w:val="9"/>
        <w:rPr>
          <w:rFonts w:hint="eastAsia" w:ascii="黑体" w:hAnsi="黑体" w:eastAsia="黑体" w:cs="黑体"/>
          <w:b w:val="0"/>
          <w:bCs w:val="0"/>
          <w:color w:val="auto"/>
          <w:spacing w:val="0"/>
          <w:sz w:val="32"/>
          <w:szCs w:val="32"/>
        </w:rPr>
      </w:pPr>
      <w:bookmarkStart w:id="1" w:name="_Toc1842966121_WPSOffice_Level1"/>
      <w:bookmarkStart w:id="2" w:name="_Toc8137"/>
      <w:r>
        <w:rPr>
          <w:rFonts w:hint="eastAsia" w:ascii="黑体" w:hAnsi="黑体" w:eastAsia="黑体" w:cs="黑体"/>
          <w:b w:val="0"/>
          <w:bCs w:val="0"/>
          <w:color w:val="auto"/>
          <w:spacing w:val="0"/>
          <w:sz w:val="32"/>
          <w:szCs w:val="32"/>
        </w:rPr>
        <w:t>一、“十</w:t>
      </w:r>
      <w:r>
        <w:rPr>
          <w:rFonts w:hint="eastAsia" w:ascii="黑体" w:hAnsi="黑体" w:eastAsia="黑体" w:cs="黑体"/>
          <w:b w:val="0"/>
          <w:bCs w:val="0"/>
          <w:color w:val="auto"/>
          <w:spacing w:val="0"/>
          <w:sz w:val="32"/>
          <w:szCs w:val="32"/>
          <w:lang w:eastAsia="zh-CN"/>
        </w:rPr>
        <w:t>三</w:t>
      </w:r>
      <w:r>
        <w:rPr>
          <w:rFonts w:hint="eastAsia" w:ascii="黑体" w:hAnsi="黑体" w:eastAsia="黑体" w:cs="黑体"/>
          <w:b w:val="0"/>
          <w:bCs w:val="0"/>
          <w:color w:val="auto"/>
          <w:spacing w:val="0"/>
          <w:sz w:val="32"/>
          <w:szCs w:val="32"/>
        </w:rPr>
        <w:t>五”</w:t>
      </w:r>
      <w:r>
        <w:rPr>
          <w:rFonts w:hint="eastAsia" w:ascii="黑体" w:hAnsi="黑体" w:eastAsia="黑体" w:cs="黑体"/>
          <w:b w:val="0"/>
          <w:bCs w:val="0"/>
          <w:color w:val="auto"/>
          <w:spacing w:val="0"/>
          <w:sz w:val="32"/>
          <w:szCs w:val="32"/>
          <w:lang w:val="en-US" w:eastAsia="zh-CN"/>
        </w:rPr>
        <w:t>延津</w:t>
      </w:r>
      <w:r>
        <w:rPr>
          <w:rFonts w:hint="eastAsia" w:ascii="黑体" w:hAnsi="黑体" w:eastAsia="黑体" w:cs="黑体"/>
          <w:b w:val="0"/>
          <w:bCs w:val="0"/>
          <w:color w:val="auto"/>
          <w:spacing w:val="0"/>
          <w:sz w:val="32"/>
          <w:szCs w:val="32"/>
          <w:lang w:eastAsia="zh-CN"/>
        </w:rPr>
        <w:t>县质量强县</w:t>
      </w:r>
      <w:r>
        <w:rPr>
          <w:rFonts w:hint="eastAsia" w:ascii="黑体" w:hAnsi="黑体" w:eastAsia="黑体" w:cs="黑体"/>
          <w:b w:val="0"/>
          <w:bCs w:val="0"/>
          <w:color w:val="auto"/>
          <w:spacing w:val="0"/>
          <w:sz w:val="32"/>
          <w:szCs w:val="32"/>
        </w:rPr>
        <w:t>工作成效</w:t>
      </w:r>
      <w:bookmarkEnd w:id="1"/>
      <w:bookmarkEnd w:id="2"/>
    </w:p>
    <w:p>
      <w:pPr>
        <w:keepNext w:val="0"/>
        <w:keepLines w:val="0"/>
        <w:pageBreakBefore w:val="0"/>
        <w:widowControl w:val="0"/>
        <w:kinsoku/>
        <w:wordWrap/>
        <w:overflowPunct/>
        <w:topLinePunct/>
        <w:autoSpaceDE/>
        <w:autoSpaceDN/>
        <w:bidi w:val="0"/>
        <w:adjustRightInd w:val="0"/>
        <w:snapToGrid w:val="0"/>
        <w:spacing w:beforeAutospacing="0" w:afterAutospacing="0" w:line="560" w:lineRule="exact"/>
        <w:ind w:left="0" w:right="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“十三五”期间</w:t>
      </w:r>
      <w:r>
        <w:rPr>
          <w:rFonts w:hint="eastAsia" w:ascii="仿宋_GB2312" w:hAnsi="仿宋_GB2312" w:eastAsia="仿宋_GB2312" w:cs="仿宋_GB2312"/>
          <w:color w:val="auto"/>
          <w:spacing w:val="0"/>
          <w:sz w:val="32"/>
          <w:szCs w:val="32"/>
          <w:lang w:val="en-US" w:eastAsia="zh-CN"/>
        </w:rPr>
        <w:t>，</w:t>
      </w:r>
      <w:r>
        <w:rPr>
          <w:rFonts w:hint="eastAsia" w:ascii="仿宋_GB2312" w:hAnsi="仿宋_GB2312" w:eastAsia="仿宋_GB2312" w:cs="仿宋_GB2312"/>
          <w:color w:val="auto"/>
          <w:spacing w:val="0"/>
          <w:sz w:val="32"/>
          <w:szCs w:val="32"/>
        </w:rPr>
        <w:t>坚持以习近平新时代中国特色社会主义思想为指导，在</w:t>
      </w:r>
      <w:r>
        <w:rPr>
          <w:rFonts w:hint="eastAsia" w:ascii="仿宋_GB2312" w:hAnsi="仿宋_GB2312" w:eastAsia="仿宋_GB2312" w:cs="仿宋_GB2312"/>
          <w:color w:val="auto"/>
          <w:spacing w:val="0"/>
          <w:sz w:val="32"/>
          <w:szCs w:val="32"/>
          <w:lang w:val="en-US" w:eastAsia="zh-CN"/>
        </w:rPr>
        <w:t>新乡</w:t>
      </w:r>
      <w:r>
        <w:rPr>
          <w:rFonts w:hint="eastAsia" w:ascii="仿宋_GB2312" w:hAnsi="仿宋_GB2312" w:eastAsia="仿宋_GB2312" w:cs="仿宋_GB2312"/>
          <w:color w:val="auto"/>
          <w:spacing w:val="0"/>
          <w:sz w:val="32"/>
          <w:szCs w:val="32"/>
        </w:rPr>
        <w:t>市委市政府的坚强领导下，</w:t>
      </w:r>
      <w:r>
        <w:rPr>
          <w:rFonts w:hint="eastAsia" w:ascii="仿宋_GB2312" w:hAnsi="仿宋_GB2312" w:eastAsia="仿宋_GB2312" w:cs="仿宋_GB2312"/>
          <w:color w:val="auto"/>
          <w:spacing w:val="0"/>
          <w:sz w:val="32"/>
          <w:szCs w:val="32"/>
          <w:lang w:val="en-US" w:eastAsia="zh-CN"/>
        </w:rPr>
        <w:t>延津</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委、</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政府高度重视质量工作，围绕质量强</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建设责任目标，大力实施质量强</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战略，从多个层面加强质量工作规划部署</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圆满完成“十三五”期间确定的各项目标任务，全面建成小康社会</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正向着建设社会主义现代化标杆县（市）的目标大步迈进。</w:t>
      </w:r>
      <w:r>
        <w:rPr>
          <w:rFonts w:hint="eastAsia" w:ascii="仿宋_GB2312" w:hAnsi="仿宋_GB2312" w:eastAsia="仿宋_GB2312" w:cs="仿宋_GB2312"/>
          <w:color w:val="auto"/>
          <w:spacing w:val="0"/>
          <w:sz w:val="32"/>
          <w:szCs w:val="32"/>
          <w:lang w:val="en-US" w:eastAsia="zh-CN"/>
        </w:rPr>
        <w:t>先后荣获全国优质小麦产业化示范县、全国绿色食品原料标准化生产基地、全国食品工业强县、国家优质小麦现代农业产业园、国家农产品质量安全县、河南省农产品电商十强县等荣誉。</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autoSpaceDE/>
        <w:autoSpaceDN/>
        <w:bidi w:val="0"/>
        <w:adjustRightInd/>
        <w:snapToGrid/>
        <w:spacing w:beforeAutospacing="0" w:afterAutospacing="0" w:line="560" w:lineRule="exact"/>
        <w:ind w:left="0" w:right="0" w:firstLine="640" w:firstLineChars="200"/>
        <w:jc w:val="both"/>
        <w:textAlignment w:val="auto"/>
        <w:outlineLvl w:val="9"/>
        <w:rPr>
          <w:rFonts w:hint="eastAsia" w:ascii="楷体_GB2312" w:hAnsi="楷体_GB2312" w:eastAsia="楷体_GB2312" w:cs="楷体_GB2312"/>
          <w:b w:val="0"/>
          <w:bCs w:val="0"/>
          <w:color w:val="auto"/>
          <w:spacing w:val="0"/>
          <w:sz w:val="32"/>
          <w:szCs w:val="32"/>
          <w:lang w:val="en-US" w:eastAsia="zh-CN"/>
        </w:rPr>
      </w:pPr>
      <w:bookmarkStart w:id="3" w:name="_Toc9578"/>
      <w:bookmarkStart w:id="4" w:name="_Toc1842966121_WPSOffice_Level2"/>
      <w:r>
        <w:rPr>
          <w:rFonts w:hint="eastAsia" w:ascii="楷体_GB2312" w:hAnsi="楷体_GB2312" w:eastAsia="楷体_GB2312" w:cs="楷体_GB2312"/>
          <w:b w:val="0"/>
          <w:bCs w:val="0"/>
          <w:color w:val="auto"/>
          <w:spacing w:val="0"/>
          <w:sz w:val="32"/>
          <w:szCs w:val="32"/>
        </w:rPr>
        <w:t>（一）主要工作成绩</w:t>
      </w:r>
      <w:bookmarkEnd w:id="3"/>
      <w:bookmarkEnd w:id="4"/>
    </w:p>
    <w:p>
      <w:pPr>
        <w:keepNext w:val="0"/>
        <w:keepLines w:val="0"/>
        <w:pageBreakBefore w:val="0"/>
        <w:widowControl w:val="0"/>
        <w:kinsoku/>
        <w:wordWrap/>
        <w:overflowPunct/>
        <w:topLinePunct/>
        <w:autoSpaceDE/>
        <w:autoSpaceDN/>
        <w:bidi w:val="0"/>
        <w:adjustRightInd w:val="0"/>
        <w:snapToGrid w:val="0"/>
        <w:spacing w:beforeAutospacing="0" w:afterAutospacing="0" w:line="560" w:lineRule="exact"/>
        <w:ind w:left="0" w:right="0" w:firstLine="640" w:firstLineChars="200"/>
        <w:jc w:val="both"/>
        <w:textAlignment w:val="auto"/>
        <w:outlineLvl w:val="9"/>
        <w:rPr>
          <w:rFonts w:hint="eastAsia" w:ascii="仿宋_GB2312" w:hAnsi="仿宋_GB2312" w:eastAsia="仿宋_GB2312" w:cs="仿宋_GB2312"/>
          <w:color w:val="auto"/>
          <w:spacing w:val="0"/>
          <w:sz w:val="32"/>
          <w:szCs w:val="32"/>
        </w:rPr>
      </w:pPr>
      <w:bookmarkStart w:id="5" w:name="_Toc1842966121_WPSOffice_Level3"/>
      <w:r>
        <w:rPr>
          <w:rFonts w:hint="eastAsia" w:ascii="仿宋_GB2312" w:hAnsi="仿宋_GB2312" w:eastAsia="仿宋_GB2312" w:cs="仿宋_GB2312"/>
          <w:color w:val="auto"/>
          <w:spacing w:val="0"/>
          <w:sz w:val="32"/>
          <w:szCs w:val="32"/>
        </w:rPr>
        <w:t>1.质量水平持续提升</w:t>
      </w:r>
      <w:bookmarkEnd w:id="5"/>
    </w:p>
    <w:p>
      <w:pPr>
        <w:keepNext w:val="0"/>
        <w:keepLines w:val="0"/>
        <w:pageBreakBefore w:val="0"/>
        <w:widowControl w:val="0"/>
        <w:kinsoku/>
        <w:wordWrap/>
        <w:overflowPunct/>
        <w:topLinePunct/>
        <w:autoSpaceDE/>
        <w:autoSpaceDN/>
        <w:bidi w:val="0"/>
        <w:adjustRightInd w:val="0"/>
        <w:snapToGrid w:val="0"/>
        <w:spacing w:beforeAutospacing="0" w:afterAutospacing="0" w:line="560" w:lineRule="exact"/>
        <w:ind w:left="0" w:right="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eastAsia="zh-CN"/>
        </w:rPr>
        <w:t>全县</w:t>
      </w:r>
      <w:r>
        <w:rPr>
          <w:rFonts w:hint="eastAsia" w:ascii="仿宋_GB2312" w:hAnsi="仿宋_GB2312" w:eastAsia="仿宋_GB2312" w:cs="仿宋_GB2312"/>
          <w:color w:val="auto"/>
          <w:spacing w:val="0"/>
          <w:sz w:val="32"/>
          <w:szCs w:val="32"/>
        </w:rPr>
        <w:t>重点工业产品质量监督抽查合格率达到 95%以上</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重点产品质量监督抽查合格率达到 98%以上，农产品质量监督抽检合格率达到 97%以上</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工程质量取得新进展，全</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报建工程监督覆盖率、受监工程竣工合格率、新开工工程节能标准执行率、“两书 一牌”制度推行覆盖率均达100%。群众质量满意度逐年提高。</w:t>
      </w:r>
    </w:p>
    <w:p>
      <w:pPr>
        <w:keepNext w:val="0"/>
        <w:keepLines w:val="0"/>
        <w:pageBreakBefore w:val="0"/>
        <w:widowControl w:val="0"/>
        <w:kinsoku/>
        <w:wordWrap/>
        <w:overflowPunct/>
        <w:topLinePunct/>
        <w:autoSpaceDE/>
        <w:autoSpaceDN/>
        <w:bidi w:val="0"/>
        <w:adjustRightInd w:val="0"/>
        <w:snapToGrid w:val="0"/>
        <w:spacing w:beforeAutospacing="0" w:afterAutospacing="0" w:line="560" w:lineRule="exact"/>
        <w:ind w:left="0" w:right="0" w:firstLine="640" w:firstLineChars="200"/>
        <w:jc w:val="both"/>
        <w:textAlignment w:val="auto"/>
        <w:outlineLvl w:val="9"/>
        <w:rPr>
          <w:rFonts w:hint="eastAsia" w:ascii="仿宋_GB2312" w:hAnsi="仿宋_GB2312" w:eastAsia="仿宋_GB2312" w:cs="仿宋_GB2312"/>
          <w:color w:val="auto"/>
          <w:spacing w:val="0"/>
          <w:sz w:val="32"/>
          <w:szCs w:val="32"/>
        </w:rPr>
      </w:pPr>
      <w:bookmarkStart w:id="6" w:name="_Toc530259513_WPSOffice_Level3"/>
      <w:r>
        <w:rPr>
          <w:rFonts w:hint="eastAsia" w:ascii="仿宋_GB2312" w:hAnsi="仿宋_GB2312" w:eastAsia="仿宋_GB2312" w:cs="仿宋_GB2312"/>
          <w:color w:val="auto"/>
          <w:spacing w:val="0"/>
          <w:sz w:val="32"/>
          <w:szCs w:val="32"/>
        </w:rPr>
        <w:t>2.质量安全形势稳定</w:t>
      </w:r>
      <w:bookmarkEnd w:id="6"/>
    </w:p>
    <w:p>
      <w:pPr>
        <w:keepNext w:val="0"/>
        <w:keepLines w:val="0"/>
        <w:pageBreakBefore w:val="0"/>
        <w:widowControl w:val="0"/>
        <w:kinsoku/>
        <w:wordWrap/>
        <w:overflowPunct/>
        <w:topLinePunct/>
        <w:autoSpaceDE/>
        <w:autoSpaceDN/>
        <w:bidi w:val="0"/>
        <w:adjustRightInd w:val="0"/>
        <w:snapToGrid w:val="0"/>
        <w:spacing w:beforeAutospacing="0" w:afterAutospacing="0" w:line="560" w:lineRule="exact"/>
        <w:ind w:left="0" w:right="0" w:firstLine="640" w:firstLineChars="200"/>
        <w:jc w:val="both"/>
        <w:textAlignment w:val="auto"/>
        <w:outlineLvl w:val="9"/>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rPr>
        <w:t>坚持依法行政，优化市场监管环境，深入开展安全生产“四大攻坚”</w:t>
      </w:r>
      <w:r>
        <w:rPr>
          <w:rFonts w:hint="eastAsia" w:ascii="仿宋_GB2312" w:hAnsi="仿宋_GB2312" w:eastAsia="仿宋_GB2312" w:cs="仿宋_GB2312"/>
          <w:color w:val="auto"/>
          <w:spacing w:val="0"/>
          <w:sz w:val="32"/>
          <w:szCs w:val="32"/>
          <w:lang w:eastAsia="zh-CN"/>
        </w:rPr>
        <w:t>和“</w:t>
      </w:r>
      <w:r>
        <w:rPr>
          <w:rFonts w:hint="eastAsia" w:ascii="仿宋_GB2312" w:hAnsi="仿宋_GB2312" w:eastAsia="仿宋_GB2312" w:cs="仿宋_GB2312"/>
          <w:color w:val="auto"/>
          <w:spacing w:val="0"/>
          <w:sz w:val="32"/>
          <w:szCs w:val="32"/>
          <w:lang w:val="en-US" w:eastAsia="zh-CN"/>
        </w:rPr>
        <w:t>3.15</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执法打假</w:t>
      </w:r>
      <w:r>
        <w:rPr>
          <w:rFonts w:hint="eastAsia" w:ascii="仿宋_GB2312" w:hAnsi="仿宋_GB2312" w:eastAsia="仿宋_GB2312" w:cs="仿宋_GB2312"/>
          <w:color w:val="auto"/>
          <w:spacing w:val="0"/>
          <w:sz w:val="32"/>
          <w:szCs w:val="32"/>
          <w:lang w:eastAsia="zh-CN"/>
        </w:rPr>
        <w:t>以及</w:t>
      </w:r>
      <w:r>
        <w:rPr>
          <w:rFonts w:hint="eastAsia" w:ascii="仿宋_GB2312" w:hAnsi="仿宋_GB2312" w:eastAsia="仿宋_GB2312" w:cs="仿宋_GB2312"/>
          <w:color w:val="auto"/>
          <w:spacing w:val="0"/>
          <w:sz w:val="32"/>
          <w:szCs w:val="32"/>
        </w:rPr>
        <w:t>知识产权执法维权等专项行动，强化知识产权保护</w:t>
      </w:r>
      <w:r>
        <w:rPr>
          <w:rFonts w:hint="eastAsia" w:ascii="仿宋_GB2312" w:hAnsi="仿宋_GB2312" w:eastAsia="仿宋_GB2312" w:cs="仿宋_GB2312"/>
          <w:color w:val="auto"/>
          <w:spacing w:val="0"/>
          <w:sz w:val="32"/>
          <w:szCs w:val="32"/>
          <w:lang w:eastAsia="zh-CN"/>
        </w:rPr>
        <w:t>和质量安全监管</w:t>
      </w:r>
      <w:r>
        <w:rPr>
          <w:rFonts w:hint="eastAsia" w:ascii="仿宋_GB2312" w:hAnsi="仿宋_GB2312" w:eastAsia="仿宋_GB2312" w:cs="仿宋_GB2312"/>
          <w:color w:val="auto"/>
          <w:spacing w:val="0"/>
          <w:sz w:val="32"/>
          <w:szCs w:val="32"/>
        </w:rPr>
        <w:t>，以最大力度打造最优准入环境、竞争环境、服务环境、消费环境和法治环境。</w:t>
      </w:r>
      <w:r>
        <w:rPr>
          <w:rFonts w:hint="eastAsia" w:ascii="仿宋_GB2312" w:hAnsi="仿宋_GB2312" w:eastAsia="仿宋_GB2312" w:cs="仿宋_GB2312"/>
          <w:color w:val="auto"/>
          <w:spacing w:val="0"/>
          <w:sz w:val="32"/>
          <w:szCs w:val="32"/>
          <w:lang w:val="en-US" w:eastAsia="zh-CN"/>
        </w:rPr>
        <w:t>至今</w:t>
      </w:r>
      <w:r>
        <w:rPr>
          <w:rFonts w:hint="eastAsia" w:ascii="仿宋_GB2312" w:hAnsi="仿宋_GB2312" w:eastAsia="仿宋_GB2312" w:cs="仿宋_GB2312"/>
          <w:color w:val="auto"/>
          <w:spacing w:val="0"/>
          <w:sz w:val="32"/>
          <w:szCs w:val="32"/>
        </w:rPr>
        <w:t>未发生重大产品、工程、服务质量安全责任事故。被评为国家农产品质量安全县、省级食品安全示范县</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是</w:t>
      </w:r>
      <w:r>
        <w:rPr>
          <w:rFonts w:hint="eastAsia" w:ascii="仿宋_GB2312" w:hAnsi="仿宋_GB2312" w:eastAsia="仿宋_GB2312" w:cs="仿宋_GB2312"/>
          <w:color w:val="auto"/>
          <w:spacing w:val="0"/>
          <w:sz w:val="32"/>
          <w:szCs w:val="32"/>
        </w:rPr>
        <w:t>全市唯一的河南省百城建设提质工程工作先进县</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连续五年被市政府评为食品安全工作先进县</w:t>
      </w:r>
      <w:r>
        <w:rPr>
          <w:rFonts w:hint="eastAsia" w:ascii="仿宋_GB2312" w:hAnsi="仿宋_GB2312" w:eastAsia="仿宋_GB2312" w:cs="仿宋_GB2312"/>
          <w:color w:val="auto"/>
          <w:spacing w:val="0"/>
          <w:sz w:val="32"/>
          <w:szCs w:val="32"/>
          <w:lang w:eastAsia="zh-CN"/>
        </w:rPr>
        <w:t>。</w:t>
      </w:r>
    </w:p>
    <w:p>
      <w:pPr>
        <w:keepNext w:val="0"/>
        <w:keepLines w:val="0"/>
        <w:pageBreakBefore w:val="0"/>
        <w:widowControl w:val="0"/>
        <w:kinsoku/>
        <w:wordWrap/>
        <w:overflowPunct/>
        <w:topLinePunct/>
        <w:autoSpaceDE/>
        <w:autoSpaceDN/>
        <w:bidi w:val="0"/>
        <w:adjustRightInd w:val="0"/>
        <w:snapToGrid w:val="0"/>
        <w:spacing w:beforeAutospacing="0" w:afterAutospacing="0" w:line="560" w:lineRule="exact"/>
        <w:ind w:left="0" w:right="0" w:firstLine="640" w:firstLineChars="200"/>
        <w:jc w:val="both"/>
        <w:textAlignment w:val="auto"/>
        <w:outlineLvl w:val="9"/>
        <w:rPr>
          <w:rFonts w:hint="eastAsia" w:ascii="仿宋_GB2312" w:hAnsi="仿宋_GB2312" w:eastAsia="仿宋_GB2312" w:cs="仿宋_GB2312"/>
          <w:color w:val="auto"/>
          <w:spacing w:val="0"/>
          <w:sz w:val="32"/>
          <w:szCs w:val="32"/>
        </w:rPr>
      </w:pPr>
      <w:bookmarkStart w:id="7" w:name="_Toc1304140623_WPSOffice_Level3"/>
      <w:r>
        <w:rPr>
          <w:rFonts w:hint="eastAsia" w:ascii="仿宋_GB2312" w:hAnsi="仿宋_GB2312" w:eastAsia="仿宋_GB2312" w:cs="仿宋_GB2312"/>
          <w:color w:val="auto"/>
          <w:spacing w:val="0"/>
          <w:sz w:val="32"/>
          <w:szCs w:val="32"/>
          <w:lang w:val="en-US" w:eastAsia="zh-CN"/>
        </w:rPr>
        <w:t>3.</w:t>
      </w:r>
      <w:r>
        <w:rPr>
          <w:rFonts w:hint="eastAsia" w:ascii="仿宋_GB2312" w:hAnsi="仿宋_GB2312" w:eastAsia="仿宋_GB2312" w:cs="仿宋_GB2312"/>
          <w:color w:val="auto"/>
          <w:spacing w:val="0"/>
          <w:sz w:val="32"/>
          <w:szCs w:val="32"/>
        </w:rPr>
        <w:t>质量基础更加坚实</w:t>
      </w:r>
      <w:bookmarkEnd w:id="7"/>
    </w:p>
    <w:p>
      <w:pPr>
        <w:keepNext w:val="0"/>
        <w:keepLines w:val="0"/>
        <w:pageBreakBefore w:val="0"/>
        <w:widowControl w:val="0"/>
        <w:kinsoku/>
        <w:wordWrap/>
        <w:overflowPunct/>
        <w:topLinePunct/>
        <w:autoSpaceDE/>
        <w:autoSpaceDN/>
        <w:bidi w:val="0"/>
        <w:adjustRightInd w:val="0"/>
        <w:snapToGrid w:val="0"/>
        <w:spacing w:beforeAutospacing="0" w:afterAutospacing="0" w:line="560" w:lineRule="exact"/>
        <w:ind w:left="0" w:right="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全县新增高新技术企业</w:t>
      </w:r>
      <w:r>
        <w:rPr>
          <w:rFonts w:hint="eastAsia" w:ascii="仿宋_GB2312" w:hAnsi="仿宋_GB2312" w:eastAsia="仿宋_GB2312" w:cs="仿宋_GB2312"/>
          <w:color w:val="auto"/>
          <w:spacing w:val="0"/>
          <w:sz w:val="32"/>
          <w:szCs w:val="32"/>
          <w:lang w:val="en-US" w:eastAsia="zh-CN"/>
        </w:rPr>
        <w:t>7</w:t>
      </w:r>
      <w:r>
        <w:rPr>
          <w:rFonts w:hint="eastAsia" w:ascii="仿宋_GB2312" w:hAnsi="仿宋_GB2312" w:eastAsia="仿宋_GB2312" w:cs="仿宋_GB2312"/>
          <w:color w:val="auto"/>
          <w:spacing w:val="0"/>
          <w:sz w:val="32"/>
          <w:szCs w:val="32"/>
        </w:rPr>
        <w:t>家，总量达到1</w:t>
      </w:r>
      <w:r>
        <w:rPr>
          <w:rFonts w:hint="eastAsia" w:ascii="仿宋_GB2312" w:hAnsi="仿宋_GB2312" w:eastAsia="仿宋_GB2312" w:cs="仿宋_GB2312"/>
          <w:color w:val="auto"/>
          <w:spacing w:val="0"/>
          <w:sz w:val="32"/>
          <w:szCs w:val="32"/>
          <w:lang w:val="en-US" w:eastAsia="zh-CN"/>
        </w:rPr>
        <w:t>5</w:t>
      </w:r>
      <w:r>
        <w:rPr>
          <w:rFonts w:hint="eastAsia" w:ascii="仿宋_GB2312" w:hAnsi="仿宋_GB2312" w:eastAsia="仿宋_GB2312" w:cs="仿宋_GB2312"/>
          <w:color w:val="auto"/>
          <w:spacing w:val="0"/>
          <w:sz w:val="32"/>
          <w:szCs w:val="32"/>
        </w:rPr>
        <w:t>家；新增国家科技型中小企业6家，总量达到</w:t>
      </w:r>
      <w:r>
        <w:rPr>
          <w:rFonts w:hint="eastAsia" w:ascii="仿宋_GB2312" w:hAnsi="仿宋_GB2312" w:eastAsia="仿宋_GB2312" w:cs="仿宋_GB2312"/>
          <w:color w:val="auto"/>
          <w:spacing w:val="0"/>
          <w:sz w:val="32"/>
          <w:szCs w:val="32"/>
          <w:lang w:val="en-US" w:eastAsia="zh-CN"/>
        </w:rPr>
        <w:t>21</w:t>
      </w:r>
      <w:r>
        <w:rPr>
          <w:rFonts w:hint="eastAsia" w:ascii="仿宋_GB2312" w:hAnsi="仿宋_GB2312" w:eastAsia="仿宋_GB2312" w:cs="仿宋_GB2312"/>
          <w:color w:val="auto"/>
          <w:spacing w:val="0"/>
          <w:sz w:val="32"/>
          <w:szCs w:val="32"/>
        </w:rPr>
        <w:t>家；新增科技小巨人培育企业2家，总量达到5家；新增省级工程技术研发中心5家，新增市级工程技术研发中心11家。获批省级质量标杆企业3家，获批河南省“专精特新”企业</w:t>
      </w:r>
      <w:r>
        <w:rPr>
          <w:rFonts w:hint="eastAsia" w:ascii="仿宋_GB2312" w:hAnsi="仿宋_GB2312" w:eastAsia="仿宋_GB2312" w:cs="仿宋_GB2312"/>
          <w:color w:val="auto"/>
          <w:spacing w:val="0"/>
          <w:sz w:val="32"/>
          <w:szCs w:val="32"/>
          <w:lang w:val="en-US" w:eastAsia="zh-CN"/>
        </w:rPr>
        <w:t>8</w:t>
      </w:r>
      <w:r>
        <w:rPr>
          <w:rFonts w:hint="eastAsia" w:ascii="仿宋_GB2312" w:hAnsi="仿宋_GB2312" w:eastAsia="仿宋_GB2312" w:cs="仿宋_GB2312"/>
          <w:color w:val="auto"/>
          <w:spacing w:val="0"/>
          <w:sz w:val="32"/>
          <w:szCs w:val="32"/>
        </w:rPr>
        <w:t>家，获市星级企业1</w:t>
      </w:r>
      <w:r>
        <w:rPr>
          <w:rFonts w:hint="eastAsia" w:ascii="仿宋_GB2312" w:hAnsi="仿宋_GB2312" w:eastAsia="仿宋_GB2312" w:cs="仿宋_GB2312"/>
          <w:color w:val="auto"/>
          <w:spacing w:val="0"/>
          <w:sz w:val="32"/>
          <w:szCs w:val="32"/>
          <w:lang w:val="en-US" w:eastAsia="zh-CN"/>
        </w:rPr>
        <w:t>7</w:t>
      </w:r>
      <w:r>
        <w:rPr>
          <w:rFonts w:hint="eastAsia" w:ascii="仿宋_GB2312" w:hAnsi="仿宋_GB2312" w:eastAsia="仿宋_GB2312" w:cs="仿宋_GB2312"/>
          <w:color w:val="auto"/>
          <w:spacing w:val="0"/>
          <w:sz w:val="32"/>
          <w:szCs w:val="32"/>
        </w:rPr>
        <w:t>家次。成功获批创建全国唯一以小麦为主题的国家级现代农业产业园</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“中国第一麦”品牌效应持续提升。食品加工、医药化工、节能环保</w:t>
      </w:r>
      <w:r>
        <w:rPr>
          <w:rFonts w:hint="eastAsia" w:ascii="仿宋_GB2312" w:hAnsi="仿宋_GB2312" w:eastAsia="仿宋_GB2312" w:cs="仿宋_GB2312"/>
          <w:color w:val="auto"/>
          <w:spacing w:val="0"/>
          <w:sz w:val="32"/>
          <w:szCs w:val="32"/>
          <w:lang w:val="en-US" w:eastAsia="zh-CN"/>
        </w:rPr>
        <w:t>三大</w:t>
      </w:r>
      <w:r>
        <w:rPr>
          <w:rFonts w:hint="eastAsia" w:ascii="仿宋_GB2312" w:hAnsi="仿宋_GB2312" w:eastAsia="仿宋_GB2312" w:cs="仿宋_GB2312"/>
          <w:color w:val="auto"/>
          <w:spacing w:val="0"/>
          <w:sz w:val="32"/>
          <w:szCs w:val="32"/>
        </w:rPr>
        <w:t>主导产业和战略性新兴产业持续提升和壮大。</w:t>
      </w:r>
    </w:p>
    <w:p>
      <w:pPr>
        <w:keepNext w:val="0"/>
        <w:keepLines w:val="0"/>
        <w:pageBreakBefore w:val="0"/>
        <w:widowControl w:val="0"/>
        <w:kinsoku/>
        <w:wordWrap/>
        <w:overflowPunct/>
        <w:topLinePunct/>
        <w:autoSpaceDE/>
        <w:autoSpaceDN/>
        <w:bidi w:val="0"/>
        <w:adjustRightInd w:val="0"/>
        <w:snapToGrid w:val="0"/>
        <w:spacing w:beforeAutospacing="0" w:afterAutospacing="0" w:line="560" w:lineRule="exact"/>
        <w:ind w:left="0" w:right="0" w:firstLine="640" w:firstLineChars="200"/>
        <w:jc w:val="both"/>
        <w:textAlignment w:val="auto"/>
        <w:outlineLvl w:val="9"/>
        <w:rPr>
          <w:rFonts w:hint="eastAsia" w:ascii="仿宋_GB2312" w:hAnsi="仿宋_GB2312" w:eastAsia="仿宋_GB2312" w:cs="仿宋_GB2312"/>
          <w:color w:val="auto"/>
          <w:spacing w:val="0"/>
          <w:sz w:val="32"/>
          <w:szCs w:val="32"/>
        </w:rPr>
      </w:pPr>
      <w:bookmarkStart w:id="8" w:name="_Toc1784884044_WPSOffice_Level3"/>
      <w:r>
        <w:rPr>
          <w:rFonts w:hint="eastAsia" w:ascii="仿宋_GB2312" w:hAnsi="仿宋_GB2312" w:eastAsia="仿宋_GB2312" w:cs="仿宋_GB2312"/>
          <w:color w:val="auto"/>
          <w:spacing w:val="0"/>
          <w:sz w:val="32"/>
          <w:szCs w:val="32"/>
        </w:rPr>
        <w:t>4.品牌建设推向纵深</w:t>
      </w:r>
      <w:bookmarkEnd w:id="8"/>
    </w:p>
    <w:p>
      <w:pPr>
        <w:keepNext w:val="0"/>
        <w:keepLines w:val="0"/>
        <w:pageBreakBefore w:val="0"/>
        <w:widowControl w:val="0"/>
        <w:kinsoku/>
        <w:wordWrap/>
        <w:overflowPunct/>
        <w:topLinePunct/>
        <w:autoSpaceDE/>
        <w:autoSpaceDN/>
        <w:bidi w:val="0"/>
        <w:adjustRightInd w:val="0"/>
        <w:snapToGrid w:val="0"/>
        <w:spacing w:beforeAutospacing="0" w:afterAutospacing="0" w:line="560" w:lineRule="exact"/>
        <w:ind w:left="0" w:right="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val="en-US" w:eastAsia="zh-CN"/>
        </w:rPr>
        <w:t>拥有中国驰名商标5件、省著名商标34件。延津县克明面业公司是全国最大的挂面生产基地；“精益珍”品牌是全国沙琪玛类第二大品牌；“新良”品牌是专用面粉类三大品牌之一；云鹤公司冷冻熟面和微波面是国内首创；百川公司是全国规模最大的大豆拉丝蛋白生产基地；雄塑管道是中国塑料管道行业首家五星品牌；以“延津小麦”为主的“新乡小麦”品牌价值97亿元，荣登2016年中国品牌价值评价榜单；“延津胡萝卜”“延津黑豆”被农业农村部确认为“中国农产品地理标志保护产品”。“延津小麦”“延津菠菜”“延津黑豆”“延津红花”“小潭乡胡萝卜”先后取得国家知识产权局认定的“国家地理标志集体商标”和“国家地理标志证明商标”。</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autoSpaceDE/>
        <w:autoSpaceDN/>
        <w:bidi w:val="0"/>
        <w:adjustRightInd/>
        <w:snapToGrid/>
        <w:spacing w:beforeAutospacing="0" w:afterAutospacing="0" w:line="560" w:lineRule="exact"/>
        <w:ind w:left="0" w:right="0" w:firstLine="640" w:firstLineChars="200"/>
        <w:jc w:val="both"/>
        <w:textAlignment w:val="auto"/>
        <w:outlineLvl w:val="9"/>
        <w:rPr>
          <w:rFonts w:hint="eastAsia" w:ascii="楷体_GB2312" w:hAnsi="楷体_GB2312" w:eastAsia="楷体_GB2312" w:cs="楷体_GB2312"/>
          <w:b w:val="0"/>
          <w:bCs w:val="0"/>
          <w:color w:val="auto"/>
          <w:spacing w:val="0"/>
          <w:sz w:val="32"/>
          <w:szCs w:val="32"/>
        </w:rPr>
      </w:pPr>
      <w:bookmarkStart w:id="9" w:name="_Toc15003"/>
      <w:bookmarkStart w:id="10" w:name="_Toc530259513_WPSOffice_Level2"/>
      <w:r>
        <w:rPr>
          <w:rFonts w:hint="eastAsia" w:ascii="楷体_GB2312" w:hAnsi="楷体_GB2312" w:eastAsia="楷体_GB2312" w:cs="楷体_GB2312"/>
          <w:b w:val="0"/>
          <w:bCs w:val="0"/>
          <w:color w:val="auto"/>
          <w:spacing w:val="0"/>
          <w:sz w:val="32"/>
          <w:szCs w:val="32"/>
        </w:rPr>
        <w:t>（二）经验与亮点</w:t>
      </w:r>
      <w:bookmarkEnd w:id="9"/>
      <w:bookmarkEnd w:id="10"/>
    </w:p>
    <w:p>
      <w:pPr>
        <w:keepNext w:val="0"/>
        <w:keepLines w:val="0"/>
        <w:pageBreakBefore w:val="0"/>
        <w:widowControl w:val="0"/>
        <w:kinsoku/>
        <w:wordWrap/>
        <w:overflowPunct/>
        <w:topLinePunct/>
        <w:autoSpaceDE/>
        <w:autoSpaceDN/>
        <w:bidi w:val="0"/>
        <w:adjustRightInd w:val="0"/>
        <w:snapToGrid w:val="0"/>
        <w:spacing w:beforeAutospacing="0" w:afterAutospacing="0" w:line="560" w:lineRule="exact"/>
        <w:ind w:left="0" w:right="0" w:firstLine="640" w:firstLineChars="200"/>
        <w:jc w:val="both"/>
        <w:textAlignment w:val="auto"/>
        <w:outlineLvl w:val="9"/>
        <w:rPr>
          <w:rFonts w:hint="eastAsia" w:ascii="仿宋_GB2312" w:hAnsi="仿宋_GB2312" w:eastAsia="仿宋_GB2312" w:cs="仿宋_GB2312"/>
          <w:color w:val="auto"/>
          <w:spacing w:val="0"/>
          <w:sz w:val="32"/>
          <w:szCs w:val="32"/>
        </w:rPr>
      </w:pPr>
      <w:bookmarkStart w:id="11" w:name="_Toc1004224948_WPSOffice_Level3"/>
      <w:r>
        <w:rPr>
          <w:rFonts w:hint="eastAsia" w:ascii="仿宋_GB2312" w:hAnsi="仿宋_GB2312" w:eastAsia="仿宋_GB2312" w:cs="仿宋_GB2312"/>
          <w:color w:val="auto"/>
          <w:spacing w:val="0"/>
          <w:sz w:val="32"/>
          <w:szCs w:val="32"/>
          <w:lang w:val="en-US" w:eastAsia="zh-CN"/>
        </w:rPr>
        <w:t>1.</w:t>
      </w:r>
      <w:r>
        <w:rPr>
          <w:rFonts w:hint="eastAsia" w:ascii="仿宋_GB2312" w:hAnsi="仿宋_GB2312" w:eastAsia="仿宋_GB2312" w:cs="仿宋_GB2312"/>
          <w:color w:val="auto"/>
          <w:spacing w:val="0"/>
          <w:sz w:val="32"/>
          <w:szCs w:val="32"/>
        </w:rPr>
        <w:t>推动标准化战略</w:t>
      </w:r>
      <w:bookmarkEnd w:id="11"/>
    </w:p>
    <w:p>
      <w:pPr>
        <w:keepNext w:val="0"/>
        <w:keepLines w:val="0"/>
        <w:pageBreakBefore w:val="0"/>
        <w:widowControl w:val="0"/>
        <w:kinsoku/>
        <w:wordWrap/>
        <w:overflowPunct/>
        <w:topLinePunct/>
        <w:autoSpaceDE/>
        <w:autoSpaceDN/>
        <w:bidi w:val="0"/>
        <w:adjustRightInd w:val="0"/>
        <w:snapToGrid w:val="0"/>
        <w:spacing w:beforeAutospacing="0" w:afterAutospacing="0" w:line="560" w:lineRule="exact"/>
        <w:ind w:left="0" w:right="0" w:firstLine="640" w:firstLineChars="200"/>
        <w:jc w:val="both"/>
        <w:textAlignment w:val="auto"/>
        <w:outlineLvl w:val="9"/>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rPr>
        <w:t>建立健全“延津小麦”区域标准和质量安全管理体系，形成独立或共享的知识产权，增强延津小麦的核心竞争力和影响力。</w:t>
      </w:r>
      <w:r>
        <w:rPr>
          <w:rFonts w:hint="eastAsia" w:ascii="仿宋_GB2312" w:hAnsi="仿宋_GB2312" w:eastAsia="仿宋_GB2312" w:cs="仿宋_GB2312"/>
          <w:color w:val="auto"/>
          <w:spacing w:val="0"/>
          <w:sz w:val="32"/>
          <w:szCs w:val="32"/>
          <w:lang w:val="en-US" w:eastAsia="zh-CN"/>
        </w:rPr>
        <w:t>累计投资16.9亿元打造优质小麦国家现代农业产业园，“延津麦·强筋面”品牌叫响全国。获批“新乡小麦”地理标志农产品保护工程项目。农产品线上销售额全市第一，荣获“河南省农产品电商十强县”。</w:t>
      </w:r>
    </w:p>
    <w:p>
      <w:pPr>
        <w:keepNext w:val="0"/>
        <w:keepLines w:val="0"/>
        <w:pageBreakBefore w:val="0"/>
        <w:widowControl w:val="0"/>
        <w:kinsoku/>
        <w:wordWrap/>
        <w:overflowPunct/>
        <w:topLinePunct/>
        <w:autoSpaceDE/>
        <w:autoSpaceDN/>
        <w:bidi w:val="0"/>
        <w:adjustRightInd w:val="0"/>
        <w:snapToGrid w:val="0"/>
        <w:spacing w:beforeAutospacing="0" w:afterAutospacing="0" w:line="560" w:lineRule="exact"/>
        <w:ind w:left="0" w:right="0" w:firstLine="640" w:firstLineChars="200"/>
        <w:jc w:val="both"/>
        <w:textAlignment w:val="auto"/>
        <w:outlineLvl w:val="9"/>
        <w:rPr>
          <w:rFonts w:hint="eastAsia" w:ascii="仿宋_GB2312" w:hAnsi="仿宋_GB2312" w:eastAsia="仿宋_GB2312" w:cs="仿宋_GB2312"/>
          <w:color w:val="auto"/>
          <w:spacing w:val="0"/>
          <w:sz w:val="32"/>
          <w:szCs w:val="32"/>
        </w:rPr>
      </w:pPr>
      <w:bookmarkStart w:id="12" w:name="_Toc1960710189_WPSOffice_Level3"/>
      <w:r>
        <w:rPr>
          <w:rFonts w:hint="eastAsia" w:ascii="仿宋_GB2312" w:hAnsi="仿宋_GB2312" w:eastAsia="仿宋_GB2312" w:cs="仿宋_GB2312"/>
          <w:color w:val="auto"/>
          <w:spacing w:val="0"/>
          <w:sz w:val="32"/>
          <w:szCs w:val="32"/>
          <w:lang w:val="en-US" w:eastAsia="zh-CN"/>
        </w:rPr>
        <w:t>2</w:t>
      </w:r>
      <w:r>
        <w:rPr>
          <w:rFonts w:hint="eastAsia" w:ascii="仿宋_GB2312" w:hAnsi="仿宋_GB2312" w:eastAsia="仿宋_GB2312" w:cs="仿宋_GB2312"/>
          <w:color w:val="auto"/>
          <w:spacing w:val="0"/>
          <w:sz w:val="32"/>
          <w:szCs w:val="32"/>
        </w:rPr>
        <w:t>.出台</w:t>
      </w:r>
      <w:r>
        <w:rPr>
          <w:rFonts w:hint="eastAsia" w:ascii="仿宋_GB2312" w:hAnsi="仿宋_GB2312" w:eastAsia="仿宋_GB2312" w:cs="仿宋_GB2312"/>
          <w:color w:val="auto"/>
          <w:spacing w:val="0"/>
          <w:sz w:val="32"/>
          <w:szCs w:val="32"/>
          <w:lang w:eastAsia="zh-CN"/>
        </w:rPr>
        <w:t>激励</w:t>
      </w:r>
      <w:r>
        <w:rPr>
          <w:rFonts w:hint="eastAsia" w:ascii="仿宋_GB2312" w:hAnsi="仿宋_GB2312" w:eastAsia="仿宋_GB2312" w:cs="仿宋_GB2312"/>
          <w:color w:val="auto"/>
          <w:spacing w:val="0"/>
          <w:sz w:val="32"/>
          <w:szCs w:val="32"/>
        </w:rPr>
        <w:t>政策</w:t>
      </w:r>
      <w:bookmarkEnd w:id="12"/>
    </w:p>
    <w:p>
      <w:pPr>
        <w:keepNext w:val="0"/>
        <w:keepLines w:val="0"/>
        <w:pageBreakBefore w:val="0"/>
        <w:widowControl w:val="0"/>
        <w:kinsoku/>
        <w:wordWrap/>
        <w:overflowPunct/>
        <w:topLinePunct/>
        <w:autoSpaceDE/>
        <w:autoSpaceDN/>
        <w:bidi w:val="0"/>
        <w:adjustRightInd w:val="0"/>
        <w:snapToGrid w:val="0"/>
        <w:spacing w:beforeAutospacing="0" w:afterAutospacing="0" w:line="560" w:lineRule="exact"/>
        <w:ind w:left="0" w:right="0" w:firstLine="640" w:firstLineChars="200"/>
        <w:jc w:val="both"/>
        <w:textAlignment w:val="auto"/>
        <w:outlineLvl w:val="9"/>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eastAsia="zh-CN"/>
        </w:rPr>
        <w:t>出台《延津县落实全省新兴产业链工作意见》，</w:t>
      </w:r>
      <w:r>
        <w:rPr>
          <w:rFonts w:hint="eastAsia" w:ascii="仿宋_GB2312" w:hAnsi="仿宋_GB2312" w:eastAsia="仿宋_GB2312" w:cs="仿宋_GB2312"/>
          <w:color w:val="auto"/>
          <w:spacing w:val="0"/>
          <w:sz w:val="32"/>
          <w:szCs w:val="32"/>
          <w:lang w:val="en-US" w:eastAsia="zh-CN"/>
        </w:rPr>
        <w:t>针对9个新兴产业，按照“一个产业、四个清单、一套班子、一抓到底”原则，成立工作专班，对重点事项、重点园区、重点企业、重点项目实行清单管理，</w:t>
      </w:r>
      <w:r>
        <w:rPr>
          <w:rFonts w:hint="eastAsia" w:ascii="仿宋_GB2312" w:hAnsi="仿宋_GB2312" w:eastAsia="仿宋_GB2312" w:cs="仿宋_GB2312"/>
          <w:color w:val="auto"/>
          <w:spacing w:val="0"/>
          <w:sz w:val="32"/>
          <w:szCs w:val="32"/>
        </w:rPr>
        <w:t>涵盖了质量品牌、标准化、计量、 检验检测、认证认可、商标、专利等市场监管业务范围。对获得省长、市长和县长质量奖的企业给予重奖。</w:t>
      </w:r>
    </w:p>
    <w:p>
      <w:pPr>
        <w:keepNext w:val="0"/>
        <w:keepLines w:val="0"/>
        <w:pageBreakBefore w:val="0"/>
        <w:widowControl w:val="0"/>
        <w:kinsoku/>
        <w:wordWrap/>
        <w:overflowPunct/>
        <w:topLinePunct/>
        <w:autoSpaceDE/>
        <w:autoSpaceDN/>
        <w:bidi w:val="0"/>
        <w:adjustRightInd w:val="0"/>
        <w:snapToGrid w:val="0"/>
        <w:spacing w:beforeAutospacing="0" w:afterAutospacing="0" w:line="560" w:lineRule="exact"/>
        <w:ind w:left="0" w:right="0" w:firstLine="640" w:firstLineChars="200"/>
        <w:jc w:val="both"/>
        <w:textAlignment w:val="auto"/>
        <w:outlineLvl w:val="9"/>
        <w:rPr>
          <w:rFonts w:hint="eastAsia" w:ascii="仿宋_GB2312" w:hAnsi="仿宋_GB2312" w:eastAsia="仿宋_GB2312" w:cs="仿宋_GB2312"/>
          <w:color w:val="auto"/>
          <w:spacing w:val="0"/>
          <w:sz w:val="32"/>
          <w:szCs w:val="32"/>
          <w:lang w:val="en-US" w:eastAsia="zh-CN"/>
        </w:rPr>
      </w:pPr>
      <w:bookmarkStart w:id="13" w:name="_Toc161292746_WPSOffice_Level3"/>
      <w:r>
        <w:rPr>
          <w:rFonts w:hint="eastAsia" w:ascii="仿宋_GB2312" w:hAnsi="仿宋_GB2312" w:eastAsia="仿宋_GB2312" w:cs="仿宋_GB2312"/>
          <w:color w:val="auto"/>
          <w:spacing w:val="0"/>
          <w:sz w:val="32"/>
          <w:szCs w:val="32"/>
          <w:lang w:val="en-US" w:eastAsia="zh-CN"/>
        </w:rPr>
        <w:t>3.</w:t>
      </w:r>
      <w:r>
        <w:rPr>
          <w:rFonts w:hint="eastAsia" w:ascii="仿宋_GB2312" w:hAnsi="仿宋_GB2312" w:eastAsia="仿宋_GB2312" w:cs="仿宋_GB2312"/>
          <w:color w:val="auto"/>
          <w:spacing w:val="0"/>
          <w:sz w:val="32"/>
          <w:szCs w:val="32"/>
        </w:rPr>
        <w:t>城乡发展</w:t>
      </w:r>
      <w:r>
        <w:rPr>
          <w:rFonts w:hint="eastAsia" w:ascii="仿宋_GB2312" w:hAnsi="仿宋_GB2312" w:eastAsia="仿宋_GB2312" w:cs="仿宋_GB2312"/>
          <w:color w:val="auto"/>
          <w:spacing w:val="0"/>
          <w:sz w:val="32"/>
          <w:szCs w:val="32"/>
          <w:lang w:val="en-US" w:eastAsia="zh-CN"/>
        </w:rPr>
        <w:t>扩容提质</w:t>
      </w:r>
      <w:bookmarkEnd w:id="13"/>
    </w:p>
    <w:p>
      <w:pPr>
        <w:keepNext w:val="0"/>
        <w:keepLines w:val="0"/>
        <w:pageBreakBefore w:val="0"/>
        <w:widowControl w:val="0"/>
        <w:kinsoku/>
        <w:wordWrap/>
        <w:overflowPunct/>
        <w:topLinePunct/>
        <w:autoSpaceDE/>
        <w:autoSpaceDN/>
        <w:bidi w:val="0"/>
        <w:adjustRightInd w:val="0"/>
        <w:snapToGrid w:val="0"/>
        <w:spacing w:beforeAutospacing="0" w:afterAutospacing="0" w:line="560" w:lineRule="exact"/>
        <w:ind w:left="0" w:right="0" w:firstLine="640" w:firstLineChars="200"/>
        <w:jc w:val="both"/>
        <w:textAlignment w:val="auto"/>
        <w:outlineLvl w:val="9"/>
        <w:rPr>
          <w:rFonts w:hint="eastAsia" w:ascii="仿宋_GB2312" w:hAnsi="仿宋_GB2312" w:eastAsia="仿宋_GB2312" w:cs="仿宋_GB2312"/>
          <w:color w:val="auto"/>
          <w:spacing w:val="0"/>
          <w:sz w:val="32"/>
          <w:szCs w:val="32"/>
          <w:lang w:eastAsia="zh-CN"/>
        </w:rPr>
      </w:pPr>
      <w:bookmarkStart w:id="14" w:name="_Toc2682"/>
      <w:r>
        <w:rPr>
          <w:rFonts w:hint="eastAsia" w:ascii="仿宋_GB2312" w:hAnsi="仿宋_GB2312" w:eastAsia="仿宋_GB2312" w:cs="仿宋_GB2312"/>
          <w:color w:val="auto"/>
          <w:spacing w:val="0"/>
          <w:sz w:val="32"/>
          <w:szCs w:val="32"/>
        </w:rPr>
        <w:t>积极融入郑新一体化发展，全面启动新延一体化发展。</w:t>
      </w:r>
      <w:r>
        <w:rPr>
          <w:rFonts w:hint="eastAsia" w:ascii="仿宋_GB2312" w:hAnsi="仿宋_GB2312" w:eastAsia="仿宋_GB2312" w:cs="仿宋_GB2312"/>
          <w:color w:val="auto"/>
          <w:spacing w:val="0"/>
          <w:sz w:val="32"/>
          <w:szCs w:val="32"/>
          <w:lang w:val="en-US" w:eastAsia="zh-CN"/>
        </w:rPr>
        <w:t>坚持以水润城、以绿荫城、以文化城、以业兴城，</w:t>
      </w:r>
      <w:r>
        <w:rPr>
          <w:rFonts w:hint="eastAsia" w:ascii="仿宋_GB2312" w:hAnsi="仿宋_GB2312" w:eastAsia="仿宋_GB2312" w:cs="仿宋_GB2312"/>
          <w:color w:val="auto"/>
          <w:spacing w:val="0"/>
          <w:sz w:val="32"/>
          <w:szCs w:val="32"/>
        </w:rPr>
        <w:t>成功创建省级文明城市、省级卫生城市、省级园林县城，被评为全市唯一的河南省百城提质工作先进县。</w:t>
      </w:r>
    </w:p>
    <w:p>
      <w:pPr>
        <w:keepNext w:val="0"/>
        <w:keepLines w:val="0"/>
        <w:pageBreakBefore w:val="0"/>
        <w:widowControl w:val="0"/>
        <w:kinsoku/>
        <w:wordWrap/>
        <w:overflowPunct/>
        <w:topLinePunct/>
        <w:autoSpaceDE/>
        <w:autoSpaceDN/>
        <w:bidi w:val="0"/>
        <w:adjustRightInd w:val="0"/>
        <w:snapToGrid w:val="0"/>
        <w:spacing w:beforeAutospacing="0" w:afterAutospacing="0" w:line="560" w:lineRule="exact"/>
        <w:ind w:left="0" w:right="0" w:firstLine="640" w:firstLineChars="200"/>
        <w:jc w:val="both"/>
        <w:textAlignment w:val="auto"/>
        <w:outlineLvl w:val="9"/>
        <w:rPr>
          <w:rFonts w:hint="eastAsia" w:ascii="黑体" w:hAnsi="黑体" w:eastAsia="黑体" w:cs="黑体"/>
          <w:b w:val="0"/>
          <w:bCs w:val="0"/>
          <w:color w:val="auto"/>
          <w:spacing w:val="0"/>
          <w:sz w:val="32"/>
          <w:szCs w:val="32"/>
          <w:lang w:val="en-US" w:eastAsia="zh-CN"/>
        </w:rPr>
      </w:pPr>
      <w:bookmarkStart w:id="15" w:name="_Toc1304140623_WPSOffice_Level1"/>
      <w:r>
        <w:rPr>
          <w:rFonts w:hint="eastAsia" w:ascii="黑体" w:hAnsi="黑体" w:eastAsia="黑体" w:cs="黑体"/>
          <w:b w:val="0"/>
          <w:bCs w:val="0"/>
          <w:color w:val="auto"/>
          <w:spacing w:val="0"/>
          <w:sz w:val="32"/>
          <w:szCs w:val="32"/>
          <w:lang w:eastAsia="zh-CN"/>
        </w:rPr>
        <w:t>二、</w:t>
      </w:r>
      <w:r>
        <w:rPr>
          <w:rFonts w:hint="eastAsia" w:ascii="黑体" w:hAnsi="黑体" w:eastAsia="黑体" w:cs="黑体"/>
          <w:b w:val="0"/>
          <w:bCs w:val="0"/>
          <w:color w:val="auto"/>
          <w:spacing w:val="0"/>
          <w:sz w:val="32"/>
          <w:szCs w:val="32"/>
        </w:rPr>
        <w:t>挑战与机遇</w:t>
      </w:r>
      <w:bookmarkEnd w:id="14"/>
      <w:bookmarkEnd w:id="15"/>
      <w:r>
        <w:rPr>
          <w:rFonts w:hint="eastAsia" w:ascii="黑体" w:hAnsi="黑体" w:eastAsia="黑体" w:cs="黑体"/>
          <w:b w:val="0"/>
          <w:bCs w:val="0"/>
          <w:color w:val="auto"/>
          <w:spacing w:val="0"/>
          <w:sz w:val="32"/>
          <w:szCs w:val="32"/>
          <w:lang w:val="en-US" w:eastAsia="zh-CN"/>
        </w:rPr>
        <w:t xml:space="preserve">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autoSpaceDE/>
        <w:autoSpaceDN/>
        <w:bidi w:val="0"/>
        <w:adjustRightInd/>
        <w:snapToGrid/>
        <w:spacing w:beforeAutospacing="0" w:afterAutospacing="0" w:line="560" w:lineRule="exact"/>
        <w:ind w:left="0" w:right="0" w:firstLine="640" w:firstLineChars="200"/>
        <w:jc w:val="both"/>
        <w:textAlignment w:val="auto"/>
        <w:outlineLvl w:val="9"/>
        <w:rPr>
          <w:rFonts w:hint="eastAsia" w:ascii="楷体_GB2312" w:hAnsi="楷体_GB2312" w:eastAsia="楷体_GB2312" w:cs="楷体_GB2312"/>
          <w:b w:val="0"/>
          <w:bCs w:val="0"/>
          <w:color w:val="auto"/>
          <w:spacing w:val="0"/>
          <w:sz w:val="32"/>
          <w:szCs w:val="32"/>
        </w:rPr>
      </w:pPr>
      <w:bookmarkStart w:id="16" w:name="_Toc1304140623_WPSOffice_Level2"/>
      <w:r>
        <w:rPr>
          <w:rFonts w:hint="eastAsia" w:ascii="楷体_GB2312" w:hAnsi="楷体_GB2312" w:eastAsia="楷体_GB2312" w:cs="楷体_GB2312"/>
          <w:b w:val="0"/>
          <w:bCs w:val="0"/>
          <w:color w:val="auto"/>
          <w:spacing w:val="0"/>
          <w:sz w:val="32"/>
          <w:szCs w:val="32"/>
        </w:rPr>
        <w:t>（一）面临的挑战</w:t>
      </w:r>
      <w:bookmarkEnd w:id="16"/>
    </w:p>
    <w:p>
      <w:pPr>
        <w:keepNext w:val="0"/>
        <w:keepLines w:val="0"/>
        <w:pageBreakBefore w:val="0"/>
        <w:widowControl w:val="0"/>
        <w:kinsoku/>
        <w:wordWrap/>
        <w:overflowPunct/>
        <w:topLinePunct/>
        <w:autoSpaceDE/>
        <w:autoSpaceDN/>
        <w:bidi w:val="0"/>
        <w:adjustRightInd/>
        <w:snapToGrid/>
        <w:spacing w:beforeAutospacing="0" w:afterAutospacing="0" w:line="560" w:lineRule="exact"/>
        <w:ind w:left="0" w:right="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当前，世界正经历百年未有之大变局，新一轮科技革命和产业变革深入推进，全球疫情仍在持续演变</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b/>
          <w:bCs/>
          <w:color w:val="auto"/>
          <w:spacing w:val="0"/>
          <w:sz w:val="32"/>
          <w:szCs w:val="32"/>
        </w:rPr>
        <w:t>一是</w:t>
      </w:r>
      <w:r>
        <w:rPr>
          <w:rFonts w:hint="eastAsia" w:ascii="仿宋_GB2312" w:hAnsi="仿宋_GB2312" w:eastAsia="仿宋_GB2312" w:cs="仿宋_GB2312"/>
          <w:color w:val="auto"/>
          <w:spacing w:val="0"/>
          <w:sz w:val="32"/>
          <w:szCs w:val="32"/>
        </w:rPr>
        <w:t>从国际形势来看，数字化、治理重构等力量推动经济社会加速变革，世界经济格局将深刻调整。</w:t>
      </w:r>
      <w:r>
        <w:rPr>
          <w:rFonts w:hint="eastAsia" w:ascii="仿宋_GB2312" w:hAnsi="仿宋_GB2312" w:eastAsia="仿宋_GB2312" w:cs="仿宋_GB2312"/>
          <w:b/>
          <w:bCs/>
          <w:color w:val="auto"/>
          <w:spacing w:val="0"/>
          <w:sz w:val="32"/>
          <w:szCs w:val="32"/>
        </w:rPr>
        <w:t>二是</w:t>
      </w:r>
      <w:r>
        <w:rPr>
          <w:rFonts w:hint="eastAsia" w:ascii="仿宋_GB2312" w:hAnsi="仿宋_GB2312" w:eastAsia="仿宋_GB2312" w:cs="仿宋_GB2312"/>
          <w:color w:val="auto"/>
          <w:spacing w:val="0"/>
          <w:sz w:val="32"/>
          <w:szCs w:val="32"/>
        </w:rPr>
        <w:t>从国内形势来看，在质量效益明显提升的基础上实现经济持续健康发展，要求加快建设高标准市场体系，形成高效规范、公平竞争、质量安全、消费满意的强大国内市场</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在此基础上持续深化对外开放，拓展国际市场</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构建国内国际双循环相互促进的新发展格局。</w:t>
      </w:r>
      <w:r>
        <w:rPr>
          <w:rFonts w:hint="eastAsia" w:ascii="仿宋_GB2312" w:hAnsi="仿宋_GB2312" w:eastAsia="仿宋_GB2312" w:cs="仿宋_GB2312"/>
          <w:b/>
          <w:bCs/>
          <w:color w:val="auto"/>
          <w:spacing w:val="0"/>
          <w:sz w:val="32"/>
          <w:szCs w:val="32"/>
        </w:rPr>
        <w:t>三是</w:t>
      </w:r>
      <w:r>
        <w:rPr>
          <w:rFonts w:hint="eastAsia" w:ascii="仿宋_GB2312" w:hAnsi="仿宋_GB2312" w:eastAsia="仿宋_GB2312" w:cs="仿宋_GB2312"/>
          <w:color w:val="auto"/>
          <w:spacing w:val="0"/>
          <w:sz w:val="32"/>
          <w:szCs w:val="32"/>
        </w:rPr>
        <w:t>品牌引领工作</w:t>
      </w:r>
      <w:r>
        <w:rPr>
          <w:rFonts w:hint="eastAsia" w:ascii="仿宋_GB2312" w:hAnsi="仿宋_GB2312" w:eastAsia="仿宋_GB2312" w:cs="仿宋_GB2312"/>
          <w:color w:val="auto"/>
          <w:spacing w:val="0"/>
          <w:sz w:val="32"/>
          <w:szCs w:val="32"/>
          <w:lang w:eastAsia="zh-CN"/>
        </w:rPr>
        <w:t>需</w:t>
      </w:r>
      <w:r>
        <w:rPr>
          <w:rFonts w:hint="eastAsia" w:ascii="仿宋_GB2312" w:hAnsi="仿宋_GB2312" w:eastAsia="仿宋_GB2312" w:cs="仿宋_GB2312"/>
          <w:color w:val="auto"/>
          <w:spacing w:val="0"/>
          <w:sz w:val="32"/>
          <w:szCs w:val="32"/>
        </w:rPr>
        <w:t>进一步加强，中小企业品牌意识薄弱，品牌发展不均衡，质量发展创新能力不够。四是质量基础建设有缺口。从供给侧需要看，质量技术基础仍存在不匹配推动高质量发展的问题，</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新增长点支持力仍然不强，高新技术产业比重和现代服务业比重不高，科技和人才支撑能力不强，</w:t>
      </w:r>
      <w:r>
        <w:rPr>
          <w:rFonts w:hint="eastAsia" w:ascii="仿宋_GB2312" w:hAnsi="仿宋_GB2312" w:eastAsia="仿宋_GB2312" w:cs="仿宋_GB2312"/>
          <w:color w:val="auto"/>
          <w:spacing w:val="0"/>
          <w:sz w:val="32"/>
          <w:szCs w:val="32"/>
        </w:rPr>
        <w:t>龙头企业、战略性新兴产业少，</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自主创新能力较弱，核心技术和关键环节的研发、储备不足，</w:t>
      </w:r>
      <w:r>
        <w:rPr>
          <w:rFonts w:hint="eastAsia" w:ascii="仿宋_GB2312" w:hAnsi="仿宋_GB2312" w:eastAsia="仿宋_GB2312" w:cs="仿宋_GB2312"/>
          <w:color w:val="auto"/>
          <w:spacing w:val="0"/>
          <w:sz w:val="32"/>
          <w:szCs w:val="32"/>
        </w:rPr>
        <w:t>狠抓质量提升和质量基础的任务仍然艰巨繁重。</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autoSpaceDE/>
        <w:autoSpaceDN/>
        <w:bidi w:val="0"/>
        <w:adjustRightInd/>
        <w:snapToGrid/>
        <w:spacing w:beforeAutospacing="0" w:afterAutospacing="0" w:line="560" w:lineRule="exact"/>
        <w:ind w:left="0" w:right="0" w:firstLine="640" w:firstLineChars="200"/>
        <w:jc w:val="both"/>
        <w:textAlignment w:val="auto"/>
        <w:outlineLvl w:val="9"/>
        <w:rPr>
          <w:rFonts w:hint="eastAsia" w:ascii="楷体_GB2312" w:hAnsi="楷体_GB2312" w:eastAsia="楷体_GB2312" w:cs="楷体_GB2312"/>
          <w:b w:val="0"/>
          <w:bCs w:val="0"/>
          <w:color w:val="auto"/>
          <w:spacing w:val="0"/>
          <w:sz w:val="32"/>
          <w:szCs w:val="32"/>
        </w:rPr>
      </w:pPr>
      <w:bookmarkStart w:id="17" w:name="_Toc1784884044_WPSOffice_Level2"/>
      <w:r>
        <w:rPr>
          <w:rFonts w:hint="eastAsia" w:ascii="楷体_GB2312" w:hAnsi="楷体_GB2312" w:eastAsia="楷体_GB2312" w:cs="楷体_GB2312"/>
          <w:b w:val="0"/>
          <w:bCs w:val="0"/>
          <w:color w:val="auto"/>
          <w:spacing w:val="0"/>
          <w:sz w:val="32"/>
          <w:szCs w:val="32"/>
        </w:rPr>
        <w:t>（二）抢抓高质量发展机遇</w:t>
      </w:r>
      <w:bookmarkEnd w:id="17"/>
    </w:p>
    <w:p>
      <w:pPr>
        <w:pStyle w:val="3"/>
        <w:keepNext w:val="0"/>
        <w:keepLines w:val="0"/>
        <w:pageBreakBefore w:val="0"/>
        <w:widowControl w:val="0"/>
        <w:kinsoku/>
        <w:wordWrap/>
        <w:overflowPunct/>
        <w:topLinePunct/>
        <w:autoSpaceDE/>
        <w:autoSpaceDN/>
        <w:bidi w:val="0"/>
        <w:spacing w:beforeAutospacing="0" w:afterAutospacing="0" w:line="560" w:lineRule="exact"/>
        <w:ind w:left="0" w:right="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highlight w:val="none"/>
        </w:rPr>
        <w:t>我国进入新发展阶段，人民日益增长美好生活需要的满足对质量、品牌、标准建设提出更高要求。人民对优质产品和服务的需求增加</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对加快转变经济发展方式、提高发展质量与效益提出迫切要求。</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国家发布“中国制造2025”行动纲领，全面实施制造强国战略，加快推进“互联网+”行动计划，促进大众创新万众创业，一系列稳增长调结构促改革新举措密集出台，为延津加快科技创新、优化产业结构、培育新兴业态、拓展增长空间提供了前所未有的机遇。</w:t>
      </w:r>
      <w:r>
        <w:rPr>
          <w:rFonts w:hint="eastAsia" w:ascii="仿宋_GB2312" w:hAnsi="仿宋_GB2312" w:eastAsia="仿宋_GB2312" w:cs="仿宋_GB2312"/>
          <w:color w:val="auto"/>
          <w:spacing w:val="0"/>
          <w:kern w:val="0"/>
          <w:sz w:val="32"/>
          <w:szCs w:val="32"/>
          <w:lang w:val="en-US" w:eastAsia="zh-CN" w:bidi="ar"/>
        </w:rPr>
        <w:t>随着供给侧结构性改革、国家级战略（平台）“三区一群”（郑州航空港经济综合实验区、郑洛新国家自主创新示范区、中国（河南）自由贸易试验区，中原城市群）和黄河流域生态保护和高质量发展建设深入推进，新乡大东区聚力开发，郑延融合、新延一体等发展潜能加速释放，延津凭借优越的区位交通优势及延津小麦、土地、生态和黄河故道文化等“比较优势”，享有的战略政策红利更加明显，为对外开放、承接转移，创新发展、产业升级注入了强劲动力。</w:t>
      </w:r>
      <w:r>
        <w:rPr>
          <w:rFonts w:hint="eastAsia" w:ascii="仿宋_GB2312" w:hAnsi="仿宋_GB2312" w:eastAsia="仿宋_GB2312" w:cs="仿宋_GB2312"/>
          <w:color w:val="auto"/>
          <w:spacing w:val="0"/>
          <w:sz w:val="32"/>
          <w:szCs w:val="32"/>
        </w:rPr>
        <w:t>随着鲁花食品、克明面业、桂柳牧业等农业产业化国家重点龙头企业入驻延津，使我县在全面推进乡村振兴过程中延伸农业产业链条、建立联农带农机制、促进乡村集体经济发展、促进农民增收致富等方面更加大有可为、大有作为。</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综合经济实力及</w:t>
      </w:r>
      <w:r>
        <w:rPr>
          <w:rFonts w:hint="eastAsia" w:ascii="仿宋_GB2312" w:hAnsi="仿宋_GB2312" w:eastAsia="仿宋_GB2312" w:cs="仿宋_GB2312"/>
          <w:i w:val="0"/>
          <w:iCs w:val="0"/>
          <w:caps w:val="0"/>
          <w:color w:val="auto"/>
          <w:spacing w:val="0"/>
          <w:sz w:val="32"/>
          <w:szCs w:val="32"/>
          <w:highlight w:val="none"/>
          <w:shd w:val="clear" w:fill="FFFFFF"/>
        </w:rPr>
        <w:t>打造延津“优质小麦”和“优质花生”两大主导产业区域品牌，</w:t>
      </w:r>
      <w:r>
        <w:rPr>
          <w:rFonts w:hint="eastAsia" w:ascii="仿宋_GB2312" w:hAnsi="仿宋_GB2312" w:eastAsia="仿宋_GB2312" w:cs="仿宋_GB2312"/>
          <w:color w:val="auto"/>
          <w:spacing w:val="0"/>
          <w:kern w:val="0"/>
          <w:sz w:val="32"/>
          <w:szCs w:val="32"/>
          <w:highlight w:val="none"/>
          <w:lang w:val="en-US" w:eastAsia="zh-CN" w:bidi="ar"/>
        </w:rPr>
        <w:t>形成食品加工、医药化工和节能环保三大主导产业</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的辐射力、影响力不断增强。</w:t>
      </w:r>
      <w:r>
        <w:rPr>
          <w:rFonts w:hint="eastAsia" w:ascii="仿宋_GB2312" w:hAnsi="仿宋_GB2312" w:eastAsia="仿宋_GB2312" w:cs="仿宋_GB2312"/>
          <w:color w:val="auto"/>
          <w:spacing w:val="0"/>
          <w:sz w:val="32"/>
          <w:szCs w:val="32"/>
        </w:rPr>
        <w:t>“十四五”时期，也是</w:t>
      </w:r>
      <w:r>
        <w:rPr>
          <w:rFonts w:hint="eastAsia" w:ascii="仿宋_GB2312" w:hAnsi="仿宋_GB2312" w:eastAsia="仿宋_GB2312" w:cs="仿宋_GB2312"/>
          <w:color w:val="auto"/>
          <w:spacing w:val="0"/>
          <w:sz w:val="32"/>
          <w:szCs w:val="32"/>
          <w:lang w:val="en-US" w:eastAsia="zh-CN"/>
        </w:rPr>
        <w:t>延津</w:t>
      </w:r>
      <w:r>
        <w:rPr>
          <w:rFonts w:hint="eastAsia" w:ascii="仿宋_GB2312" w:hAnsi="仿宋_GB2312" w:eastAsia="仿宋_GB2312" w:cs="仿宋_GB2312"/>
          <w:color w:val="auto"/>
          <w:spacing w:val="0"/>
          <w:sz w:val="32"/>
          <w:szCs w:val="32"/>
        </w:rPr>
        <w:t>步入城市蝶变的关键期、能级提升的突破期、新经济发展的追赶期、治理现代化的攻坚期、人民幸福感持续提升的考验期。</w:t>
      </w:r>
      <w:r>
        <w:rPr>
          <w:rFonts w:hint="eastAsia" w:ascii="仿宋_GB2312" w:hAnsi="仿宋_GB2312" w:eastAsia="仿宋_GB2312" w:cs="仿宋_GB2312"/>
          <w:color w:val="auto"/>
          <w:spacing w:val="0"/>
          <w:sz w:val="32"/>
          <w:szCs w:val="32"/>
          <w:lang w:val="en-US" w:eastAsia="zh-CN"/>
        </w:rPr>
        <w:t>延津</w:t>
      </w:r>
      <w:r>
        <w:rPr>
          <w:rFonts w:hint="eastAsia" w:ascii="仿宋_GB2312" w:hAnsi="仿宋_GB2312" w:eastAsia="仿宋_GB2312" w:cs="仿宋_GB2312"/>
          <w:color w:val="auto"/>
          <w:spacing w:val="0"/>
          <w:sz w:val="32"/>
          <w:szCs w:val="32"/>
        </w:rPr>
        <w:t>需坚定高质量发展之路，在产品、服务、工程领域全面深化质量变革、标准变革、品牌变革。坚持质量第一，以品牌的力量激发新的增长动力，以高质量供给创造更多市场需求，以标准提档、品牌增效融入和引领价值链重塑，形成具有</w:t>
      </w:r>
      <w:r>
        <w:rPr>
          <w:rFonts w:hint="eastAsia" w:ascii="仿宋_GB2312" w:hAnsi="仿宋_GB2312" w:eastAsia="仿宋_GB2312" w:cs="仿宋_GB2312"/>
          <w:color w:val="auto"/>
          <w:spacing w:val="0"/>
          <w:sz w:val="32"/>
          <w:szCs w:val="32"/>
          <w:lang w:val="en-US" w:eastAsia="zh-CN"/>
        </w:rPr>
        <w:t>延津</w:t>
      </w:r>
      <w:r>
        <w:rPr>
          <w:rFonts w:hint="eastAsia" w:ascii="仿宋_GB2312" w:hAnsi="仿宋_GB2312" w:eastAsia="仿宋_GB2312" w:cs="仿宋_GB2312"/>
          <w:color w:val="auto"/>
          <w:spacing w:val="0"/>
          <w:sz w:val="32"/>
          <w:szCs w:val="32"/>
        </w:rPr>
        <w:t>特色的质量发展道路。</w:t>
      </w:r>
    </w:p>
    <w:p>
      <w:pPr>
        <w:keepNext w:val="0"/>
        <w:keepLines w:val="0"/>
        <w:pageBreakBefore w:val="0"/>
        <w:widowControl w:val="0"/>
        <w:kinsoku/>
        <w:wordWrap/>
        <w:overflowPunct/>
        <w:topLinePunct/>
        <w:autoSpaceDE/>
        <w:autoSpaceDN/>
        <w:bidi w:val="0"/>
        <w:adjustRightInd w:val="0"/>
        <w:snapToGrid w:val="0"/>
        <w:spacing w:beforeAutospacing="0" w:afterAutospacing="0" w:line="560" w:lineRule="exact"/>
        <w:ind w:left="0" w:right="0" w:firstLine="640" w:firstLineChars="200"/>
        <w:jc w:val="both"/>
        <w:textAlignment w:val="auto"/>
        <w:outlineLvl w:val="9"/>
        <w:rPr>
          <w:rFonts w:hint="eastAsia" w:ascii="黑体" w:hAnsi="黑体" w:eastAsia="黑体" w:cs="黑体"/>
          <w:b w:val="0"/>
          <w:bCs w:val="0"/>
          <w:color w:val="auto"/>
          <w:spacing w:val="0"/>
          <w:sz w:val="32"/>
          <w:szCs w:val="32"/>
        </w:rPr>
      </w:pPr>
      <w:bookmarkStart w:id="18" w:name="_Toc10102"/>
      <w:bookmarkStart w:id="19" w:name="_Toc1784884044_WPSOffice_Level1"/>
      <w:r>
        <w:rPr>
          <w:rFonts w:hint="eastAsia" w:ascii="黑体" w:hAnsi="黑体" w:eastAsia="黑体" w:cs="黑体"/>
          <w:b w:val="0"/>
          <w:bCs w:val="0"/>
          <w:color w:val="auto"/>
          <w:spacing w:val="0"/>
          <w:sz w:val="32"/>
          <w:szCs w:val="32"/>
          <w:lang w:eastAsia="zh-CN"/>
        </w:rPr>
        <w:t>三</w:t>
      </w:r>
      <w:r>
        <w:rPr>
          <w:rFonts w:hint="eastAsia" w:ascii="黑体" w:hAnsi="黑体" w:eastAsia="黑体" w:cs="黑体"/>
          <w:b w:val="0"/>
          <w:bCs w:val="0"/>
          <w:color w:val="auto"/>
          <w:spacing w:val="0"/>
          <w:sz w:val="32"/>
          <w:szCs w:val="32"/>
        </w:rPr>
        <w:t>、十四五规划指导思想、基本原则和发展目标</w:t>
      </w:r>
      <w:bookmarkEnd w:id="18"/>
      <w:bookmarkEnd w:id="19"/>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autoSpaceDE/>
        <w:autoSpaceDN/>
        <w:bidi w:val="0"/>
        <w:adjustRightInd/>
        <w:snapToGrid/>
        <w:spacing w:beforeAutospacing="0" w:afterAutospacing="0" w:line="560" w:lineRule="exact"/>
        <w:ind w:left="0" w:right="0" w:firstLine="640" w:firstLineChars="200"/>
        <w:jc w:val="both"/>
        <w:textAlignment w:val="auto"/>
        <w:outlineLvl w:val="9"/>
        <w:rPr>
          <w:rFonts w:hint="eastAsia" w:ascii="楷体_GB2312" w:hAnsi="楷体_GB2312" w:eastAsia="楷体_GB2312" w:cs="楷体_GB2312"/>
          <w:b w:val="0"/>
          <w:bCs w:val="0"/>
          <w:color w:val="auto"/>
          <w:spacing w:val="0"/>
          <w:sz w:val="32"/>
          <w:szCs w:val="32"/>
        </w:rPr>
      </w:pPr>
      <w:bookmarkStart w:id="20" w:name="_Toc1004224948_WPSOffice_Level2"/>
      <w:bookmarkStart w:id="21" w:name="_Toc14821"/>
      <w:r>
        <w:rPr>
          <w:rFonts w:hint="eastAsia" w:ascii="楷体_GB2312" w:hAnsi="楷体_GB2312" w:eastAsia="楷体_GB2312" w:cs="楷体_GB2312"/>
          <w:b w:val="0"/>
          <w:bCs w:val="0"/>
          <w:color w:val="auto"/>
          <w:spacing w:val="0"/>
          <w:sz w:val="32"/>
          <w:szCs w:val="32"/>
        </w:rPr>
        <w:t>（一）指导思想</w:t>
      </w:r>
      <w:bookmarkEnd w:id="20"/>
      <w:bookmarkEnd w:id="21"/>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spacing w:beforeAutospacing="0" w:afterAutospacing="0" w:line="560" w:lineRule="exact"/>
        <w:ind w:left="0" w:right="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Cs/>
          <w:color w:val="auto"/>
          <w:spacing w:val="0"/>
          <w:sz w:val="32"/>
          <w:szCs w:val="32"/>
          <w:lang w:val="en-US" w:eastAsia="zh-CN"/>
        </w:rPr>
        <w:t>认真贯彻党的十九大和十九届二中、三中、四中、五中、六中全会精神，以习近平新时代中国特色社会主义思想为指导，紧紧围绕高质量发展要求，坚定不移走高质量发展之路，牢固树立和贯彻落实新发展理念，贯彻落实习近平总书记视察河南重要讲话精神和省委、市委、县委有关精神，始终坚持质量第一、效益优先方针，发挥县域资源优势和比较优势，大力开展质量提升行动，以质量管理、品牌带动、标准引领、认证认可为手段，聚集全县资金、技术、标准、商标、专利等质量发展要素，实施质量共治，全力提升特色农业产业发展水平，推动“三个转变”，建设质量强县，努力把延津特色农业产业打造成质量标准先进、产业发展高端、品牌带动力强的制造产业，</w:t>
      </w:r>
      <w:r>
        <w:rPr>
          <w:rFonts w:hint="eastAsia" w:ascii="仿宋_GB2312" w:hAnsi="仿宋_GB2312" w:eastAsia="仿宋_GB2312" w:cs="仿宋_GB2312"/>
          <w:b w:val="0"/>
          <w:bCs w:val="0"/>
          <w:i w:val="0"/>
          <w:iCs w:val="0"/>
          <w:caps w:val="0"/>
          <w:color w:val="auto"/>
          <w:spacing w:val="0"/>
          <w:kern w:val="0"/>
          <w:sz w:val="32"/>
          <w:szCs w:val="32"/>
          <w:highlight w:val="none"/>
          <w:shd w:val="clear" w:fill="FFFFFF"/>
          <w:lang w:val="en-US" w:eastAsia="zh-CN" w:bidi="ar"/>
        </w:rPr>
        <w:t>“延津麦·强筋面”品牌叫响全国。</w:t>
      </w:r>
      <w:r>
        <w:rPr>
          <w:rFonts w:hint="eastAsia" w:ascii="仿宋_GB2312" w:hAnsi="仿宋_GB2312" w:eastAsia="仿宋_GB2312" w:cs="仿宋_GB2312"/>
          <w:bCs/>
          <w:color w:val="auto"/>
          <w:spacing w:val="0"/>
          <w:sz w:val="32"/>
          <w:szCs w:val="32"/>
          <w:lang w:val="en-US" w:eastAsia="zh-CN"/>
        </w:rPr>
        <w:t>为开启延津现代化建设新征</w:t>
      </w:r>
      <w:r>
        <w:rPr>
          <w:rFonts w:hint="eastAsia" w:ascii="仿宋_GB2312" w:hAnsi="仿宋_GB2312" w:eastAsia="仿宋_GB2312" w:cs="仿宋_GB2312"/>
          <w:bCs/>
          <w:color w:val="auto"/>
          <w:spacing w:val="6"/>
          <w:sz w:val="32"/>
          <w:szCs w:val="32"/>
          <w:lang w:val="en-US" w:eastAsia="zh-CN"/>
        </w:rPr>
        <w:t>程奠定基础，</w:t>
      </w:r>
      <w:r>
        <w:rPr>
          <w:rFonts w:hint="eastAsia" w:ascii="仿宋_GB2312" w:hAnsi="仿宋_GB2312" w:eastAsia="仿宋_GB2312" w:cs="仿宋_GB2312"/>
          <w:color w:val="auto"/>
          <w:spacing w:val="6"/>
          <w:kern w:val="0"/>
          <w:sz w:val="32"/>
          <w:szCs w:val="32"/>
          <w:lang w:val="en-US" w:eastAsia="zh-CN" w:bidi="ar"/>
        </w:rPr>
        <w:t>在谱写新时代中原更加出彩绚丽篇章中贡献延津力量。</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autoSpaceDE/>
        <w:autoSpaceDN/>
        <w:bidi w:val="0"/>
        <w:adjustRightInd/>
        <w:snapToGrid/>
        <w:spacing w:beforeAutospacing="0" w:afterAutospacing="0" w:line="560" w:lineRule="exact"/>
        <w:ind w:left="0" w:right="0" w:firstLine="640" w:firstLineChars="200"/>
        <w:jc w:val="both"/>
        <w:textAlignment w:val="auto"/>
        <w:outlineLvl w:val="9"/>
        <w:rPr>
          <w:rFonts w:hint="eastAsia" w:ascii="楷体_GB2312" w:hAnsi="楷体_GB2312" w:eastAsia="楷体_GB2312" w:cs="楷体_GB2312"/>
          <w:b w:val="0"/>
          <w:bCs w:val="0"/>
          <w:color w:val="auto"/>
          <w:spacing w:val="0"/>
          <w:sz w:val="32"/>
          <w:szCs w:val="32"/>
        </w:rPr>
      </w:pPr>
      <w:bookmarkStart w:id="22" w:name="_Toc1960710189_WPSOffice_Level2"/>
      <w:bookmarkStart w:id="23" w:name="_Toc22756"/>
      <w:r>
        <w:rPr>
          <w:rFonts w:hint="eastAsia" w:ascii="楷体_GB2312" w:hAnsi="楷体_GB2312" w:eastAsia="楷体_GB2312" w:cs="楷体_GB2312"/>
          <w:b w:val="0"/>
          <w:bCs w:val="0"/>
          <w:color w:val="auto"/>
          <w:spacing w:val="0"/>
          <w:sz w:val="32"/>
          <w:szCs w:val="32"/>
          <w:lang w:eastAsia="zh-CN"/>
        </w:rPr>
        <w:t>（二）</w:t>
      </w:r>
      <w:r>
        <w:rPr>
          <w:rFonts w:hint="eastAsia" w:ascii="楷体_GB2312" w:hAnsi="楷体_GB2312" w:eastAsia="楷体_GB2312" w:cs="楷体_GB2312"/>
          <w:b w:val="0"/>
          <w:bCs w:val="0"/>
          <w:color w:val="auto"/>
          <w:spacing w:val="0"/>
          <w:sz w:val="32"/>
          <w:szCs w:val="32"/>
        </w:rPr>
        <w:t>基本原则</w:t>
      </w:r>
      <w:bookmarkEnd w:id="22"/>
      <w:bookmarkEnd w:id="23"/>
    </w:p>
    <w:p>
      <w:pPr>
        <w:keepNext w:val="0"/>
        <w:keepLines w:val="0"/>
        <w:pageBreakBefore w:val="0"/>
        <w:widowControl w:val="0"/>
        <w:kinsoku/>
        <w:wordWrap/>
        <w:overflowPunct/>
        <w:topLinePunct/>
        <w:autoSpaceDE/>
        <w:autoSpaceDN/>
        <w:bidi w:val="0"/>
        <w:adjustRightInd/>
        <w:snapToGrid/>
        <w:spacing w:beforeAutospacing="0" w:afterAutospacing="0" w:line="560" w:lineRule="exact"/>
        <w:ind w:left="0" w:right="0" w:firstLine="640" w:firstLineChars="200"/>
        <w:jc w:val="both"/>
        <w:textAlignment w:val="auto"/>
        <w:outlineLvl w:val="9"/>
        <w:rPr>
          <w:rFonts w:hint="eastAsia" w:ascii="仿宋_GB2312" w:hAnsi="仿宋_GB2312" w:eastAsia="仿宋_GB2312" w:cs="仿宋_GB2312"/>
          <w:b w:val="0"/>
          <w:bCs/>
          <w:color w:val="auto"/>
          <w:spacing w:val="0"/>
          <w:sz w:val="32"/>
          <w:szCs w:val="32"/>
        </w:rPr>
      </w:pPr>
      <w:bookmarkStart w:id="24" w:name="_Toc274466605"/>
      <w:bookmarkStart w:id="25" w:name="_Toc1316208003"/>
      <w:bookmarkStart w:id="26" w:name="_Toc439"/>
      <w:r>
        <w:rPr>
          <w:rFonts w:hint="eastAsia" w:ascii="仿宋_GB2312" w:hAnsi="仿宋_GB2312" w:eastAsia="仿宋_GB2312" w:cs="仿宋_GB2312"/>
          <w:b w:val="0"/>
          <w:bCs/>
          <w:color w:val="auto"/>
          <w:spacing w:val="0"/>
          <w:sz w:val="32"/>
          <w:szCs w:val="32"/>
          <w:lang w:val="en-US" w:eastAsia="zh-CN"/>
        </w:rPr>
        <w:t>1.</w:t>
      </w:r>
      <w:r>
        <w:rPr>
          <w:rFonts w:hint="eastAsia" w:ascii="仿宋_GB2312" w:hAnsi="仿宋_GB2312" w:eastAsia="仿宋_GB2312" w:cs="仿宋_GB2312"/>
          <w:b w:val="0"/>
          <w:bCs/>
          <w:color w:val="auto"/>
          <w:spacing w:val="0"/>
          <w:sz w:val="32"/>
          <w:szCs w:val="32"/>
        </w:rPr>
        <w:t>以质取胜</w:t>
      </w:r>
      <w:r>
        <w:rPr>
          <w:rFonts w:hint="eastAsia" w:ascii="仿宋_GB2312" w:hAnsi="仿宋_GB2312" w:eastAsia="仿宋_GB2312" w:cs="仿宋_GB2312"/>
          <w:b w:val="0"/>
          <w:bCs/>
          <w:color w:val="auto"/>
          <w:spacing w:val="0"/>
          <w:sz w:val="32"/>
          <w:szCs w:val="32"/>
          <w:lang w:eastAsia="zh-CN"/>
        </w:rPr>
        <w:t>。</w:t>
      </w:r>
      <w:r>
        <w:rPr>
          <w:rFonts w:hint="eastAsia" w:ascii="仿宋_GB2312" w:hAnsi="仿宋_GB2312" w:eastAsia="仿宋_GB2312" w:cs="仿宋_GB2312"/>
          <w:b w:val="0"/>
          <w:bCs/>
          <w:color w:val="auto"/>
          <w:spacing w:val="0"/>
          <w:sz w:val="32"/>
          <w:szCs w:val="32"/>
        </w:rPr>
        <w:t>始终把质量第一作为发展的价值取向和判断标准，突出需求牵引、结果导向，找准改革创新与转型升级的切入点、内生增长和开放发展的结合点、社会建设与民生改善的着力点，打造健康可持续经济社会系统，促进各领域高水平发展，实质性增加社会总福利。</w:t>
      </w:r>
      <w:bookmarkEnd w:id="24"/>
      <w:bookmarkEnd w:id="25"/>
    </w:p>
    <w:p>
      <w:pPr>
        <w:keepNext w:val="0"/>
        <w:keepLines w:val="0"/>
        <w:pageBreakBefore w:val="0"/>
        <w:widowControl w:val="0"/>
        <w:kinsoku/>
        <w:wordWrap/>
        <w:overflowPunct/>
        <w:topLinePunct/>
        <w:autoSpaceDE/>
        <w:autoSpaceDN/>
        <w:bidi w:val="0"/>
        <w:adjustRightInd/>
        <w:snapToGrid/>
        <w:spacing w:beforeAutospacing="0" w:afterAutospacing="0" w:line="560" w:lineRule="exact"/>
        <w:ind w:left="0" w:right="0" w:firstLine="640" w:firstLineChars="200"/>
        <w:jc w:val="both"/>
        <w:textAlignment w:val="auto"/>
        <w:outlineLvl w:val="9"/>
        <w:rPr>
          <w:rFonts w:hint="eastAsia" w:ascii="仿宋_GB2312" w:hAnsi="仿宋_GB2312" w:eastAsia="仿宋_GB2312" w:cs="仿宋_GB2312"/>
          <w:b w:val="0"/>
          <w:bCs/>
          <w:color w:val="auto"/>
          <w:spacing w:val="0"/>
          <w:sz w:val="32"/>
          <w:szCs w:val="32"/>
        </w:rPr>
      </w:pPr>
      <w:r>
        <w:rPr>
          <w:rFonts w:hint="eastAsia" w:ascii="仿宋_GB2312" w:hAnsi="仿宋_GB2312" w:eastAsia="仿宋_GB2312" w:cs="仿宋_GB2312"/>
          <w:b w:val="0"/>
          <w:bCs/>
          <w:color w:val="auto"/>
          <w:spacing w:val="0"/>
          <w:sz w:val="32"/>
          <w:szCs w:val="32"/>
          <w:lang w:val="en-US" w:eastAsia="zh-CN"/>
        </w:rPr>
        <w:t>2.</w:t>
      </w:r>
      <w:r>
        <w:rPr>
          <w:rFonts w:hint="eastAsia" w:ascii="仿宋_GB2312" w:hAnsi="仿宋_GB2312" w:eastAsia="仿宋_GB2312" w:cs="仿宋_GB2312"/>
          <w:b w:val="0"/>
          <w:bCs/>
          <w:color w:val="auto"/>
          <w:spacing w:val="0"/>
          <w:sz w:val="32"/>
          <w:szCs w:val="32"/>
        </w:rPr>
        <w:t>创新突破。把创新摆在质量发展全局的核心位置，持续建立完善综合创新生态体系，创新质量管理机制体制、方式方法，提升政府服务水平，强化质量宏观管理，保持质量发展新常态。既注重技术、管理、产业创新，也重视理念、文化和制度创新，以强大的创新推动质量、计量、标准的提升形成以创新为支撑的质量发展模式，创造更多领域引领式发展的新优势。</w:t>
      </w:r>
    </w:p>
    <w:p>
      <w:pPr>
        <w:keepNext w:val="0"/>
        <w:keepLines w:val="0"/>
        <w:pageBreakBefore w:val="0"/>
        <w:widowControl w:val="0"/>
        <w:kinsoku/>
        <w:wordWrap/>
        <w:overflowPunct/>
        <w:topLinePunct/>
        <w:autoSpaceDE/>
        <w:autoSpaceDN/>
        <w:bidi w:val="0"/>
        <w:adjustRightInd/>
        <w:snapToGrid/>
        <w:spacing w:beforeAutospacing="0" w:afterAutospacing="0" w:line="560" w:lineRule="exact"/>
        <w:ind w:left="0" w:right="0" w:firstLine="640" w:firstLineChars="200"/>
        <w:jc w:val="both"/>
        <w:textAlignment w:val="auto"/>
        <w:outlineLvl w:val="9"/>
        <w:rPr>
          <w:rFonts w:hint="eastAsia" w:ascii="仿宋_GB2312" w:hAnsi="仿宋_GB2312" w:eastAsia="仿宋_GB2312" w:cs="仿宋_GB2312"/>
          <w:b w:val="0"/>
          <w:bCs/>
          <w:color w:val="auto"/>
          <w:spacing w:val="0"/>
          <w:sz w:val="32"/>
          <w:szCs w:val="32"/>
        </w:rPr>
      </w:pPr>
      <w:bookmarkStart w:id="27" w:name="_Toc24251"/>
      <w:r>
        <w:rPr>
          <w:rFonts w:hint="eastAsia" w:ascii="仿宋_GB2312" w:hAnsi="仿宋_GB2312" w:eastAsia="仿宋_GB2312" w:cs="仿宋_GB2312"/>
          <w:b w:val="0"/>
          <w:bCs/>
          <w:color w:val="auto"/>
          <w:spacing w:val="0"/>
          <w:sz w:val="32"/>
          <w:szCs w:val="32"/>
        </w:rPr>
        <w:t>3</w:t>
      </w:r>
      <w:r>
        <w:rPr>
          <w:rFonts w:hint="eastAsia" w:ascii="仿宋_GB2312" w:hAnsi="仿宋_GB2312" w:eastAsia="仿宋_GB2312" w:cs="仿宋_GB2312"/>
          <w:b w:val="0"/>
          <w:bCs/>
          <w:color w:val="auto"/>
          <w:spacing w:val="0"/>
          <w:sz w:val="32"/>
          <w:szCs w:val="32"/>
          <w:lang w:val="en-US" w:eastAsia="zh-CN"/>
        </w:rPr>
        <w:t>.</w:t>
      </w:r>
      <w:r>
        <w:rPr>
          <w:rFonts w:hint="eastAsia" w:ascii="仿宋_GB2312" w:hAnsi="仿宋_GB2312" w:eastAsia="仿宋_GB2312" w:cs="仿宋_GB2312"/>
          <w:b w:val="0"/>
          <w:bCs/>
          <w:color w:val="auto"/>
          <w:spacing w:val="0"/>
          <w:sz w:val="32"/>
          <w:szCs w:val="32"/>
        </w:rPr>
        <w:t>标准先行。瞄准国际一流，立足基线提升，建立覆盖经济社会发展各领域的标准规则体系和评价机制，以高标准引领高质量，促进产业发展、公共管理、社会治理的科学化、规范化和精细化，加快现代治理体系建设，打造宜居宜业城市，在更高层次提升城市竞争力。</w:t>
      </w:r>
    </w:p>
    <w:p>
      <w:pPr>
        <w:keepNext w:val="0"/>
        <w:keepLines w:val="0"/>
        <w:pageBreakBefore w:val="0"/>
        <w:widowControl w:val="0"/>
        <w:numPr>
          <w:ilvl w:val="0"/>
          <w:numId w:val="0"/>
        </w:numPr>
        <w:kinsoku/>
        <w:wordWrap/>
        <w:overflowPunct/>
        <w:topLinePunct/>
        <w:autoSpaceDE/>
        <w:autoSpaceDN/>
        <w:bidi w:val="0"/>
        <w:adjustRightInd/>
        <w:snapToGrid/>
        <w:spacing w:beforeAutospacing="0" w:afterAutospacing="0" w:line="560" w:lineRule="exact"/>
        <w:ind w:left="0" w:right="0" w:firstLine="640" w:firstLineChars="200"/>
        <w:jc w:val="both"/>
        <w:textAlignment w:val="auto"/>
        <w:outlineLvl w:val="9"/>
        <w:rPr>
          <w:rFonts w:hint="eastAsia" w:ascii="仿宋_GB2312" w:hAnsi="仿宋_GB2312" w:eastAsia="仿宋_GB2312" w:cs="仿宋_GB2312"/>
          <w:b w:val="0"/>
          <w:bCs/>
          <w:color w:val="auto"/>
          <w:spacing w:val="0"/>
          <w:sz w:val="32"/>
          <w:szCs w:val="32"/>
          <w:lang w:val="en-US" w:eastAsia="zh-CN"/>
        </w:rPr>
      </w:pPr>
      <w:r>
        <w:rPr>
          <w:rFonts w:hint="eastAsia" w:ascii="仿宋_GB2312" w:hAnsi="仿宋_GB2312" w:eastAsia="仿宋_GB2312" w:cs="仿宋_GB2312"/>
          <w:b w:val="0"/>
          <w:bCs/>
          <w:color w:val="auto"/>
          <w:spacing w:val="0"/>
          <w:sz w:val="32"/>
          <w:szCs w:val="32"/>
        </w:rPr>
        <w:t>4</w:t>
      </w:r>
      <w:r>
        <w:rPr>
          <w:rFonts w:hint="eastAsia" w:ascii="仿宋_GB2312" w:hAnsi="仿宋_GB2312" w:eastAsia="仿宋_GB2312" w:cs="仿宋_GB2312"/>
          <w:b w:val="0"/>
          <w:bCs/>
          <w:color w:val="auto"/>
          <w:spacing w:val="0"/>
          <w:sz w:val="32"/>
          <w:szCs w:val="32"/>
          <w:lang w:val="en-US" w:eastAsia="zh-CN"/>
        </w:rPr>
        <w:t>.</w:t>
      </w:r>
      <w:r>
        <w:rPr>
          <w:rFonts w:hint="eastAsia" w:ascii="仿宋_GB2312" w:hAnsi="仿宋_GB2312" w:eastAsia="仿宋_GB2312" w:cs="仿宋_GB2312"/>
          <w:b w:val="0"/>
          <w:bCs/>
          <w:color w:val="auto"/>
          <w:spacing w:val="0"/>
          <w:sz w:val="32"/>
          <w:szCs w:val="32"/>
        </w:rPr>
        <w:t>共治共享。把社会共治作为质量发展的有效途径。建立并完善大质量工作机制，形成“党委领导、政府监管、市场调节、企业主体、行业自律、社会参与”的质量共治格局，落实企业主体责任。加快社会信用体系建设，支持社会组织引导行业规范发展。探索建立质量安全多元救济机制。加强群众监督和舆论监督。发动社会力量开展质量安全志愿服务，形成质量多元共治格局。</w:t>
      </w:r>
    </w:p>
    <w:bookmarkEnd w:id="27"/>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autoSpaceDE/>
        <w:autoSpaceDN/>
        <w:bidi w:val="0"/>
        <w:adjustRightInd/>
        <w:snapToGrid/>
        <w:spacing w:beforeAutospacing="0" w:afterAutospacing="0" w:line="560" w:lineRule="exact"/>
        <w:ind w:left="0" w:right="0" w:firstLine="640" w:firstLineChars="200"/>
        <w:jc w:val="both"/>
        <w:textAlignment w:val="auto"/>
        <w:outlineLvl w:val="9"/>
        <w:rPr>
          <w:rFonts w:hint="eastAsia" w:ascii="楷体_GB2312" w:hAnsi="楷体_GB2312" w:eastAsia="楷体_GB2312" w:cs="楷体_GB2312"/>
          <w:b w:val="0"/>
          <w:bCs w:val="0"/>
          <w:color w:val="auto"/>
          <w:spacing w:val="0"/>
          <w:sz w:val="32"/>
          <w:szCs w:val="32"/>
        </w:rPr>
      </w:pPr>
      <w:bookmarkStart w:id="28" w:name="_Toc161292746_WPSOffice_Level2"/>
      <w:r>
        <w:rPr>
          <w:rFonts w:hint="eastAsia" w:ascii="楷体_GB2312" w:hAnsi="楷体_GB2312" w:eastAsia="楷体_GB2312" w:cs="楷体_GB2312"/>
          <w:b w:val="0"/>
          <w:bCs w:val="0"/>
          <w:color w:val="auto"/>
          <w:spacing w:val="0"/>
          <w:sz w:val="32"/>
          <w:szCs w:val="32"/>
          <w:lang w:eastAsia="zh-CN"/>
        </w:rPr>
        <w:t>（三）</w:t>
      </w:r>
      <w:r>
        <w:rPr>
          <w:rFonts w:hint="eastAsia" w:ascii="楷体_GB2312" w:hAnsi="楷体_GB2312" w:eastAsia="楷体_GB2312" w:cs="楷体_GB2312"/>
          <w:b w:val="0"/>
          <w:bCs w:val="0"/>
          <w:color w:val="auto"/>
          <w:spacing w:val="0"/>
          <w:sz w:val="32"/>
          <w:szCs w:val="32"/>
        </w:rPr>
        <w:t>发展目标</w:t>
      </w:r>
      <w:bookmarkEnd w:id="26"/>
      <w:bookmarkEnd w:id="28"/>
      <w:r>
        <w:rPr>
          <w:rFonts w:hint="eastAsia" w:ascii="楷体_GB2312" w:hAnsi="楷体_GB2312" w:eastAsia="楷体_GB2312" w:cs="楷体_GB2312"/>
          <w:b w:val="0"/>
          <w:bCs w:val="0"/>
          <w:color w:val="auto"/>
          <w:spacing w:val="0"/>
          <w:sz w:val="32"/>
          <w:szCs w:val="32"/>
        </w:rPr>
        <w:tab/>
      </w:r>
    </w:p>
    <w:p>
      <w:pPr>
        <w:keepNext w:val="0"/>
        <w:keepLines w:val="0"/>
        <w:pageBreakBefore w:val="0"/>
        <w:widowControl w:val="0"/>
        <w:shd w:val="clear" w:color="auto" w:fill="FFFFFF"/>
        <w:kinsoku/>
        <w:wordWrap/>
        <w:overflowPunct/>
        <w:topLinePunct/>
        <w:autoSpaceDE/>
        <w:autoSpaceDN/>
        <w:bidi w:val="0"/>
        <w:adjustRightInd/>
        <w:snapToGrid/>
        <w:spacing w:beforeAutospacing="0" w:afterAutospacing="0" w:line="560" w:lineRule="exact"/>
        <w:ind w:left="0" w:right="0" w:firstLine="640" w:firstLineChars="200"/>
        <w:jc w:val="both"/>
        <w:textAlignment w:val="auto"/>
        <w:outlineLvl w:val="9"/>
        <w:rPr>
          <w:rFonts w:hint="eastAsia" w:ascii="仿宋_GB2312" w:hAnsi="仿宋_GB2312" w:eastAsia="仿宋_GB2312" w:cs="仿宋_GB2312"/>
          <w:b/>
          <w:color w:val="auto"/>
          <w:spacing w:val="0"/>
          <w:sz w:val="32"/>
          <w:szCs w:val="32"/>
          <w:highlight w:val="none"/>
        </w:rPr>
      </w:pPr>
      <w:bookmarkStart w:id="29" w:name="_Toc770633923_WPSOffice_Level3"/>
      <w:r>
        <w:rPr>
          <w:rFonts w:hint="eastAsia" w:ascii="仿宋_GB2312" w:hAnsi="仿宋_GB2312" w:eastAsia="仿宋_GB2312" w:cs="仿宋_GB2312"/>
          <w:color w:val="auto"/>
          <w:spacing w:val="0"/>
          <w:sz w:val="32"/>
          <w:szCs w:val="32"/>
          <w:highlight w:val="none"/>
        </w:rPr>
        <w:t>1</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总体目标</w:t>
      </w:r>
      <w:bookmarkEnd w:id="29"/>
      <w:r>
        <w:rPr>
          <w:rFonts w:hint="eastAsia" w:ascii="仿宋_GB2312" w:hAnsi="仿宋_GB2312" w:eastAsia="仿宋_GB2312" w:cs="仿宋_GB2312"/>
          <w:color w:val="auto"/>
          <w:spacing w:val="0"/>
          <w:sz w:val="32"/>
          <w:szCs w:val="32"/>
          <w:highlight w:val="none"/>
        </w:rPr>
        <w:t xml:space="preserve">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spacing w:beforeAutospacing="0" w:afterAutospacing="0" w:line="560" w:lineRule="exact"/>
        <w:ind w:left="0" w:right="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十四五期间</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延津</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将以加快建设社会主义现代化标杆县（市）为目标，大力实施质量强市战略，产品质量、服务质量、工程质量实现新突破，质量技术基础支撑能力不断加强，构建多元共治的质量发展格局，区域质量水平实现整体跃升，努力打造</w:t>
      </w:r>
      <w:r>
        <w:rPr>
          <w:rFonts w:hint="eastAsia" w:ascii="仿宋_GB2312" w:hAnsi="仿宋_GB2312" w:eastAsia="仿宋_GB2312" w:cs="仿宋_GB2312"/>
          <w:color w:val="auto"/>
          <w:spacing w:val="0"/>
          <w:sz w:val="32"/>
          <w:szCs w:val="32"/>
          <w:lang w:eastAsia="zh-CN"/>
        </w:rPr>
        <w:t>延津</w:t>
      </w:r>
      <w:r>
        <w:rPr>
          <w:rFonts w:hint="eastAsia" w:ascii="仿宋_GB2312" w:hAnsi="仿宋_GB2312" w:eastAsia="仿宋_GB2312" w:cs="仿宋_GB2312"/>
          <w:color w:val="auto"/>
          <w:spacing w:val="0"/>
          <w:sz w:val="32"/>
          <w:szCs w:val="32"/>
        </w:rPr>
        <w:t>质量新高地</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坚持</w:t>
      </w:r>
      <w:r>
        <w:rPr>
          <w:rFonts w:hint="eastAsia" w:ascii="仿宋_GB2312" w:hAnsi="仿宋_GB2312" w:eastAsia="仿宋_GB2312" w:cs="仿宋_GB2312"/>
          <w:b/>
          <w:bCs/>
          <w:color w:val="auto"/>
          <w:spacing w:val="0"/>
          <w:sz w:val="32"/>
          <w:szCs w:val="32"/>
          <w:highlight w:val="none"/>
        </w:rPr>
        <w:t>“打造中部地区先进制造业基地”“打造现代化农业农村示范基地”</w:t>
      </w:r>
      <w:r>
        <w:rPr>
          <w:rFonts w:hint="eastAsia" w:ascii="仿宋_GB2312" w:hAnsi="仿宋_GB2312" w:eastAsia="仿宋_GB2312" w:cs="仿宋_GB2312"/>
          <w:color w:val="auto"/>
          <w:spacing w:val="0"/>
          <w:sz w:val="32"/>
          <w:szCs w:val="32"/>
        </w:rPr>
        <w:t>的战略定位，深度融入黄河流域生态保护和高质量发展、淮河生态经济带等国家战略加快建设国家区域中心城市</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继续保持又好又快高质量发展态势。</w:t>
      </w:r>
    </w:p>
    <w:p>
      <w:pPr>
        <w:keepNext w:val="0"/>
        <w:keepLines w:val="0"/>
        <w:pageBreakBefore w:val="0"/>
        <w:widowControl w:val="0"/>
        <w:kinsoku/>
        <w:wordWrap/>
        <w:overflowPunct/>
        <w:topLinePunct/>
        <w:autoSpaceDE/>
        <w:autoSpaceDN/>
        <w:bidi w:val="0"/>
        <w:adjustRightInd w:val="0"/>
        <w:snapToGrid w:val="0"/>
        <w:spacing w:beforeAutospacing="0" w:afterAutospacing="0" w:line="560" w:lineRule="exact"/>
        <w:ind w:left="0" w:right="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展望2035年，形成覆盖全域、技术先进、国际接轨的先进标准体系，制造、服务、工程各领域质量达到国内领先水平，全面实现质量治理体系和治理能力现代化，成为具有影响力的品牌经济发展高地和先进标准引领高质量发展典范，质量强</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、标准强</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、品牌强</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、文旅强</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、生态强</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成为基本实现高水平现代化的重要标志。</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autoSpaceDE/>
        <w:autoSpaceDN/>
        <w:bidi w:val="0"/>
        <w:adjustRightInd/>
        <w:snapToGrid/>
        <w:spacing w:beforeAutospacing="0" w:afterAutospacing="0" w:line="560" w:lineRule="exact"/>
        <w:ind w:left="0" w:right="0" w:firstLine="640" w:firstLineChars="200"/>
        <w:jc w:val="both"/>
        <w:textAlignment w:val="auto"/>
        <w:outlineLvl w:val="9"/>
        <w:rPr>
          <w:rFonts w:hint="eastAsia" w:ascii="楷体_GB2312" w:hAnsi="楷体_GB2312" w:eastAsia="楷体_GB2312" w:cs="楷体_GB2312"/>
          <w:b w:val="0"/>
          <w:bCs w:val="0"/>
          <w:color w:val="auto"/>
          <w:spacing w:val="0"/>
          <w:sz w:val="32"/>
          <w:szCs w:val="32"/>
          <w:lang w:val="en-US" w:eastAsia="zh-CN"/>
        </w:rPr>
      </w:pPr>
      <w:bookmarkStart w:id="30" w:name="_Toc812297435_WPSOffice_Level3"/>
      <w:r>
        <w:rPr>
          <w:rFonts w:hint="eastAsia" w:ascii="仿宋_GB2312" w:hAnsi="仿宋_GB2312" w:eastAsia="仿宋_GB2312" w:cs="仿宋_GB2312"/>
          <w:color w:val="auto"/>
          <w:spacing w:val="0"/>
          <w:sz w:val="32"/>
          <w:szCs w:val="32"/>
        </w:rPr>
        <w:t>2</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具体目标</w:t>
      </w:r>
      <w:bookmarkEnd w:id="30"/>
    </w:p>
    <w:p>
      <w:pPr>
        <w:keepNext w:val="0"/>
        <w:keepLines w:val="0"/>
        <w:pageBreakBefore w:val="0"/>
        <w:widowControl w:val="0"/>
        <w:kinsoku/>
        <w:wordWrap/>
        <w:overflowPunct/>
        <w:topLinePunct/>
        <w:autoSpaceDE/>
        <w:autoSpaceDN/>
        <w:bidi w:val="0"/>
        <w:adjustRightInd w:val="0"/>
        <w:snapToGrid w:val="0"/>
        <w:spacing w:beforeAutospacing="0" w:afterAutospacing="0" w:line="560" w:lineRule="exact"/>
        <w:ind w:left="0" w:right="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（1）产品质量目标。到2025年，产品质量保障体系更加完善，产品质量安全指标全面达到国家强制性标准要求，质量创新能力和自有品牌市场竞争力明显提高，品种、质量、效益显著改善，节能环保性能大幅提升 基本满足人民群众日益增长的质量需求。</w:t>
      </w:r>
    </w:p>
    <w:p>
      <w:pPr>
        <w:keepNext w:val="0"/>
        <w:keepLines w:val="0"/>
        <w:pageBreakBefore w:val="0"/>
        <w:widowControl w:val="0"/>
        <w:kinsoku/>
        <w:wordWrap/>
        <w:overflowPunct/>
        <w:topLinePunct/>
        <w:autoSpaceDE/>
        <w:autoSpaceDN/>
        <w:bidi w:val="0"/>
        <w:adjustRightInd w:val="0"/>
        <w:snapToGrid w:val="0"/>
        <w:spacing w:beforeAutospacing="0" w:afterAutospacing="0" w:line="560" w:lineRule="exact"/>
        <w:ind w:left="0" w:right="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（2）工程质量目标。到2025年，工程质量稳定提高，建筑工程节能效率和工业化建造比重不断提升，绿色建筑发展迅速，住宅性能改善明显。人民群众对工程质量满意度明显提高，建设工程质量投诉率逐年下降。</w:t>
      </w:r>
    </w:p>
    <w:p>
      <w:pPr>
        <w:keepNext w:val="0"/>
        <w:keepLines w:val="0"/>
        <w:pageBreakBefore w:val="0"/>
        <w:widowControl w:val="0"/>
        <w:shd w:val="clear" w:fill="FFFFFF"/>
        <w:kinsoku/>
        <w:wordWrap/>
        <w:overflowPunct/>
        <w:topLinePunct/>
        <w:autoSpaceDE/>
        <w:autoSpaceDN/>
        <w:bidi w:val="0"/>
        <w:adjustRightInd w:val="0"/>
        <w:snapToGrid w:val="0"/>
        <w:spacing w:beforeAutospacing="0" w:afterAutospacing="0" w:line="560" w:lineRule="exact"/>
        <w:ind w:left="0" w:right="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3）服务质量目标。到2025年，基本实现服务标准化、规范化和品牌化，服务质量稳步提升，建成一批省级、市级综合服务业标准化示范点，骨干服务企业品牌价值进一步显现。生产性服务领域服务体系健全、运行规范，与先进制造业融合价值充分体现</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生活性服务领域标准覆盖率和服务规范性大幅提升，服务质量满意度稳步提升。建成一批服务业标准化示范项目，培育一批地方特色鲜明的服务品牌和项目，行业自律和诚信意识明显增强。</w:t>
      </w:r>
    </w:p>
    <w:p>
      <w:pPr>
        <w:keepNext w:val="0"/>
        <w:keepLines w:val="0"/>
        <w:pageBreakBefore w:val="0"/>
        <w:widowControl w:val="0"/>
        <w:kinsoku/>
        <w:wordWrap/>
        <w:overflowPunct/>
        <w:topLinePunct/>
        <w:autoSpaceDE/>
        <w:autoSpaceDN/>
        <w:bidi w:val="0"/>
        <w:adjustRightInd w:val="0"/>
        <w:snapToGrid w:val="0"/>
        <w:spacing w:beforeAutospacing="0" w:afterAutospacing="0" w:line="560" w:lineRule="exact"/>
        <w:ind w:left="0" w:right="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4）品牌和知识产权目标。到2025年，全市品牌建设取得明显成效，品牌建设基础进一步夯实，品牌发展环境不断优化，品牌培育能力显著增强，自主品牌数量和知名品牌数量显著增加，品牌价值显著提高，品牌培育成果有效支撑经济和社会发展。</w:t>
      </w:r>
    </w:p>
    <w:p>
      <w:pPr>
        <w:keepNext w:val="0"/>
        <w:keepLines w:val="0"/>
        <w:pageBreakBefore w:val="0"/>
        <w:widowControl w:val="0"/>
        <w:kinsoku w:val="0"/>
        <w:wordWrap/>
        <w:overflowPunct w:val="0"/>
        <w:topLinePunct w:val="0"/>
        <w:autoSpaceDE w:val="0"/>
        <w:autoSpaceDN/>
        <w:bidi w:val="0"/>
        <w:adjustRightInd w:val="0"/>
        <w:snapToGrid w:val="0"/>
        <w:spacing w:beforeAutospacing="0" w:afterAutospacing="0" w:line="560" w:lineRule="exact"/>
        <w:ind w:right="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val="en-US" w:eastAsia="zh-CN"/>
        </w:rPr>
        <w:t xml:space="preserve">   </w:t>
      </w:r>
      <w:r>
        <w:rPr>
          <w:rFonts w:hint="eastAsia" w:ascii="仿宋_GB2312" w:hAnsi="仿宋_GB2312" w:eastAsia="仿宋_GB2312" w:cs="仿宋_GB2312"/>
          <w:color w:val="auto"/>
          <w:spacing w:val="0"/>
          <w:sz w:val="32"/>
          <w:szCs w:val="32"/>
        </w:rPr>
        <w:t>（5）质量基础发展能力目标。到2025年，质量基础发展能力整体跃升。计量、标准、检验检测、认证认可等质量基础设施系统完整、高效运行，技术水平和服务能力进一步增强，对科技进步、产业升级和社会治理的支撑更加有力。</w:t>
      </w:r>
    </w:p>
    <w:p>
      <w:pPr>
        <w:keepNext w:val="0"/>
        <w:keepLines w:val="0"/>
        <w:pageBreakBefore w:val="0"/>
        <w:widowControl w:val="0"/>
        <w:kinsoku w:val="0"/>
        <w:wordWrap/>
        <w:overflowPunct w:val="0"/>
        <w:topLinePunct w:val="0"/>
        <w:autoSpaceDE w:val="0"/>
        <w:autoSpaceDN/>
        <w:bidi w:val="0"/>
        <w:adjustRightInd w:val="0"/>
        <w:snapToGrid w:val="0"/>
        <w:spacing w:beforeAutospacing="0" w:afterAutospacing="0" w:line="560" w:lineRule="exact"/>
        <w:ind w:left="0" w:right="0" w:firstLine="640" w:firstLineChars="200"/>
        <w:jc w:val="center"/>
        <w:textAlignment w:val="auto"/>
        <w:outlineLvl w:val="9"/>
        <w:rPr>
          <w:rFonts w:hint="eastAsia" w:ascii="楷体_GB2312" w:hAnsi="楷体_GB2312" w:eastAsia="楷体_GB2312" w:cs="楷体_GB2312"/>
          <w:color w:val="auto"/>
          <w:spacing w:val="0"/>
          <w:sz w:val="32"/>
          <w:szCs w:val="32"/>
          <w:lang w:val="en-US" w:eastAsia="zh-CN"/>
        </w:rPr>
      </w:pPr>
      <w:r>
        <w:rPr>
          <w:rFonts w:hint="eastAsia" w:ascii="楷体_GB2312" w:hAnsi="楷体_GB2312" w:eastAsia="楷体_GB2312" w:cs="楷体_GB2312"/>
          <w:color w:val="auto"/>
          <w:spacing w:val="0"/>
          <w:sz w:val="32"/>
          <w:szCs w:val="32"/>
          <w:lang w:val="en-US" w:eastAsia="zh-CN"/>
        </w:rPr>
        <w:t>延津县“十四五”质量发展</w:t>
      </w:r>
      <w:r>
        <w:rPr>
          <w:rFonts w:hint="eastAsia" w:ascii="楷体_GB2312" w:hAnsi="楷体_GB2312" w:eastAsia="楷体_GB2312" w:cs="楷体_GB2312"/>
          <w:color w:val="auto"/>
          <w:spacing w:val="0"/>
          <w:sz w:val="32"/>
          <w:szCs w:val="32"/>
        </w:rPr>
        <w:t>具体目标</w:t>
      </w:r>
      <w:r>
        <w:rPr>
          <w:rFonts w:hint="eastAsia" w:ascii="楷体_GB2312" w:hAnsi="楷体_GB2312" w:eastAsia="楷体_GB2312" w:cs="楷体_GB2312"/>
          <w:color w:val="auto"/>
          <w:spacing w:val="0"/>
          <w:sz w:val="32"/>
          <w:szCs w:val="32"/>
          <w:lang w:eastAsia="zh-CN"/>
        </w:rPr>
        <w:t>值</w:t>
      </w:r>
    </w:p>
    <w:tbl>
      <w:tblPr>
        <w:tblStyle w:val="17"/>
        <w:tblW w:w="89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5752"/>
        <w:gridCol w:w="2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trPr>
        <w:tc>
          <w:tcPr>
            <w:tcW w:w="8931" w:type="dxa"/>
            <w:gridSpan w:val="3"/>
            <w:vAlign w:val="center"/>
          </w:tcPr>
          <w:p>
            <w:pPr>
              <w:keepNext w:val="0"/>
              <w:keepLines w:val="0"/>
              <w:pageBreakBefore w:val="0"/>
              <w:widowControl w:val="0"/>
              <w:kinsoku w:val="0"/>
              <w:wordWrap/>
              <w:overflowPunct w:val="0"/>
              <w:topLinePunct w:val="0"/>
              <w:autoSpaceDE w:val="0"/>
              <w:autoSpaceDN/>
              <w:bidi w:val="0"/>
              <w:adjustRightInd/>
              <w:snapToGrid/>
              <w:spacing w:beforeAutospacing="0" w:afterAutospacing="0" w:line="560" w:lineRule="exact"/>
              <w:ind w:left="0" w:right="0" w:firstLine="560" w:firstLineChars="200"/>
              <w:jc w:val="center"/>
              <w:textAlignment w:val="auto"/>
              <w:outlineLvl w:val="9"/>
              <w:rPr>
                <w:rFonts w:hint="eastAsia" w:ascii="仿宋_GB2312" w:hAnsi="仿宋_GB2312" w:eastAsia="仿宋_GB2312" w:cs="仿宋_GB2312"/>
                <w:color w:val="auto"/>
                <w:spacing w:val="0"/>
                <w:sz w:val="28"/>
                <w:szCs w:val="28"/>
                <w:lang w:val="en-US" w:eastAsia="zh-CN"/>
              </w:rPr>
            </w:pPr>
            <w:bookmarkStart w:id="31" w:name="_Toc7101"/>
            <w:r>
              <w:rPr>
                <w:rFonts w:hint="eastAsia" w:ascii="仿宋_GB2312" w:hAnsi="仿宋_GB2312" w:eastAsia="仿宋_GB2312" w:cs="仿宋_GB2312"/>
                <w:color w:val="auto"/>
                <w:spacing w:val="0"/>
                <w:sz w:val="28"/>
                <w:szCs w:val="28"/>
                <w:lang w:val="en-US" w:eastAsia="zh-CN"/>
              </w:rPr>
              <w:t>延津县“十四五”质量发展具体目标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trPr>
        <w:tc>
          <w:tcPr>
            <w:tcW w:w="862" w:type="dxa"/>
            <w:vAlign w:val="center"/>
          </w:tcPr>
          <w:p>
            <w:pPr>
              <w:keepNext w:val="0"/>
              <w:keepLines w:val="0"/>
              <w:pageBreakBefore w:val="0"/>
              <w:widowControl w:val="0"/>
              <w:kinsoku w:val="0"/>
              <w:wordWrap/>
              <w:overflowPunct w:val="0"/>
              <w:topLinePunct w:val="0"/>
              <w:autoSpaceDE w:val="0"/>
              <w:autoSpaceDN/>
              <w:bidi w:val="0"/>
              <w:adjustRightInd/>
              <w:snapToGrid/>
              <w:spacing w:beforeAutospacing="0" w:afterAutospacing="0" w:line="560" w:lineRule="exact"/>
              <w:ind w:right="0"/>
              <w:jc w:val="center"/>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eastAsia="zh-CN"/>
              </w:rPr>
              <w:t>序号</w:t>
            </w:r>
          </w:p>
        </w:tc>
        <w:tc>
          <w:tcPr>
            <w:tcW w:w="5752" w:type="dxa"/>
            <w:vAlign w:val="center"/>
          </w:tcPr>
          <w:p>
            <w:pPr>
              <w:keepNext w:val="0"/>
              <w:keepLines w:val="0"/>
              <w:pageBreakBefore w:val="0"/>
              <w:widowControl w:val="0"/>
              <w:kinsoku w:val="0"/>
              <w:wordWrap/>
              <w:overflowPunct w:val="0"/>
              <w:topLinePunct w:val="0"/>
              <w:autoSpaceDE w:val="0"/>
              <w:autoSpaceDN/>
              <w:bidi w:val="0"/>
              <w:adjustRightInd/>
              <w:snapToGrid/>
              <w:spacing w:beforeAutospacing="0" w:afterAutospacing="0" w:line="560" w:lineRule="exact"/>
              <w:ind w:left="0" w:right="0" w:firstLine="560" w:firstLineChars="200"/>
              <w:jc w:val="center"/>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eastAsia="zh-CN"/>
              </w:rPr>
              <w:t>项  目</w:t>
            </w:r>
          </w:p>
        </w:tc>
        <w:tc>
          <w:tcPr>
            <w:tcW w:w="2317" w:type="dxa"/>
            <w:vAlign w:val="center"/>
          </w:tcPr>
          <w:p>
            <w:pPr>
              <w:keepNext w:val="0"/>
              <w:keepLines w:val="0"/>
              <w:pageBreakBefore w:val="0"/>
              <w:widowControl w:val="0"/>
              <w:kinsoku w:val="0"/>
              <w:wordWrap/>
              <w:overflowPunct w:val="0"/>
              <w:topLinePunct w:val="0"/>
              <w:autoSpaceDE w:val="0"/>
              <w:autoSpaceDN/>
              <w:bidi w:val="0"/>
              <w:adjustRightInd/>
              <w:snapToGrid/>
              <w:spacing w:beforeAutospacing="0" w:afterAutospacing="0" w:line="560" w:lineRule="exact"/>
              <w:ind w:left="0" w:right="0" w:firstLine="560" w:firstLineChars="200"/>
              <w:jc w:val="both"/>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eastAsia="zh-CN"/>
              </w:rPr>
              <w:t>量化指标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 w:hRule="atLeast"/>
        </w:trPr>
        <w:tc>
          <w:tcPr>
            <w:tcW w:w="862" w:type="dxa"/>
            <w:vAlign w:val="center"/>
          </w:tcPr>
          <w:p>
            <w:pPr>
              <w:keepNext w:val="0"/>
              <w:keepLines w:val="0"/>
              <w:pageBreakBefore w:val="0"/>
              <w:widowControl w:val="0"/>
              <w:kinsoku w:val="0"/>
              <w:wordWrap/>
              <w:overflowPunct w:val="0"/>
              <w:topLinePunct w:val="0"/>
              <w:autoSpaceDE w:val="0"/>
              <w:autoSpaceDN/>
              <w:bidi w:val="0"/>
              <w:adjustRightInd/>
              <w:snapToGrid/>
              <w:spacing w:beforeAutospacing="0" w:afterAutospacing="0" w:line="560" w:lineRule="exact"/>
              <w:ind w:right="0"/>
              <w:jc w:val="center"/>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eastAsia="zh-CN"/>
              </w:rPr>
              <w:t>1</w:t>
            </w:r>
          </w:p>
        </w:tc>
        <w:tc>
          <w:tcPr>
            <w:tcW w:w="5752" w:type="dxa"/>
            <w:vAlign w:val="center"/>
          </w:tcPr>
          <w:p>
            <w:pPr>
              <w:keepNext w:val="0"/>
              <w:keepLines w:val="0"/>
              <w:pageBreakBefore w:val="0"/>
              <w:widowControl w:val="0"/>
              <w:kinsoku w:val="0"/>
              <w:wordWrap/>
              <w:overflowPunct w:val="0"/>
              <w:topLinePunct w:val="0"/>
              <w:autoSpaceDE w:val="0"/>
              <w:autoSpaceDN/>
              <w:bidi w:val="0"/>
              <w:adjustRightInd/>
              <w:snapToGrid/>
              <w:spacing w:beforeAutospacing="0" w:afterAutospacing="0" w:line="560" w:lineRule="exact"/>
              <w:ind w:left="0" w:right="0" w:firstLine="560" w:firstLineChars="200"/>
              <w:jc w:val="center"/>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eastAsia="zh-CN"/>
              </w:rPr>
              <w:t>工业产品量监督抽查合格率</w:t>
            </w:r>
          </w:p>
        </w:tc>
        <w:tc>
          <w:tcPr>
            <w:tcW w:w="2317" w:type="dxa"/>
            <w:vAlign w:val="center"/>
          </w:tcPr>
          <w:p>
            <w:pPr>
              <w:keepNext w:val="0"/>
              <w:keepLines w:val="0"/>
              <w:pageBreakBefore w:val="0"/>
              <w:widowControl w:val="0"/>
              <w:kinsoku w:val="0"/>
              <w:wordWrap/>
              <w:overflowPunct w:val="0"/>
              <w:topLinePunct w:val="0"/>
              <w:autoSpaceDE w:val="0"/>
              <w:autoSpaceDN/>
              <w:bidi w:val="0"/>
              <w:adjustRightInd/>
              <w:snapToGrid/>
              <w:spacing w:beforeAutospacing="0" w:afterAutospacing="0" w:line="560" w:lineRule="exact"/>
              <w:ind w:left="0" w:right="0" w:firstLine="560" w:firstLineChars="200"/>
              <w:jc w:val="both"/>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eastAsia="zh-CN"/>
              </w:rPr>
              <w:t>不低于</w:t>
            </w:r>
            <w:r>
              <w:rPr>
                <w:rFonts w:hint="eastAsia" w:ascii="仿宋_GB2312" w:hAnsi="仿宋_GB2312" w:eastAsia="仿宋_GB2312" w:cs="仿宋_GB2312"/>
                <w:color w:val="auto"/>
                <w:spacing w:val="0"/>
                <w:sz w:val="28"/>
                <w:szCs w:val="28"/>
                <w:lang w:val="en-US" w:eastAsia="zh-CN"/>
              </w:rPr>
              <w:t>95</w:t>
            </w:r>
            <w:r>
              <w:rPr>
                <w:rFonts w:hint="eastAsia" w:ascii="仿宋_GB2312" w:hAnsi="仿宋_GB2312" w:eastAsia="仿宋_GB2312" w:cs="仿宋_GB2312"/>
                <w:color w:val="auto"/>
                <w:spacing w:val="0"/>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 w:hRule="atLeast"/>
        </w:trPr>
        <w:tc>
          <w:tcPr>
            <w:tcW w:w="862" w:type="dxa"/>
            <w:vAlign w:val="center"/>
          </w:tcPr>
          <w:p>
            <w:pPr>
              <w:keepNext w:val="0"/>
              <w:keepLines w:val="0"/>
              <w:pageBreakBefore w:val="0"/>
              <w:widowControl w:val="0"/>
              <w:kinsoku w:val="0"/>
              <w:wordWrap/>
              <w:overflowPunct w:val="0"/>
              <w:topLinePunct w:val="0"/>
              <w:autoSpaceDE w:val="0"/>
              <w:autoSpaceDN/>
              <w:bidi w:val="0"/>
              <w:adjustRightInd/>
              <w:snapToGrid/>
              <w:spacing w:beforeAutospacing="0" w:afterAutospacing="0" w:line="560" w:lineRule="exact"/>
              <w:ind w:right="0"/>
              <w:jc w:val="center"/>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eastAsia="zh-CN"/>
              </w:rPr>
              <w:t>2</w:t>
            </w:r>
          </w:p>
        </w:tc>
        <w:tc>
          <w:tcPr>
            <w:tcW w:w="5752" w:type="dxa"/>
            <w:vAlign w:val="center"/>
          </w:tcPr>
          <w:p>
            <w:pPr>
              <w:keepNext w:val="0"/>
              <w:keepLines w:val="0"/>
              <w:pageBreakBefore w:val="0"/>
              <w:widowControl w:val="0"/>
              <w:kinsoku w:val="0"/>
              <w:wordWrap/>
              <w:overflowPunct w:val="0"/>
              <w:topLinePunct w:val="0"/>
              <w:autoSpaceDE w:val="0"/>
              <w:autoSpaceDN/>
              <w:bidi w:val="0"/>
              <w:adjustRightInd/>
              <w:snapToGrid/>
              <w:spacing w:beforeAutospacing="0" w:afterAutospacing="0" w:line="560" w:lineRule="exact"/>
              <w:ind w:left="0" w:right="0" w:firstLine="560" w:firstLineChars="200"/>
              <w:jc w:val="center"/>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eastAsia="zh-CN"/>
              </w:rPr>
              <w:t>农产品抽检合格率</w:t>
            </w:r>
          </w:p>
        </w:tc>
        <w:tc>
          <w:tcPr>
            <w:tcW w:w="2317" w:type="dxa"/>
            <w:vAlign w:val="center"/>
          </w:tcPr>
          <w:p>
            <w:pPr>
              <w:keepNext w:val="0"/>
              <w:keepLines w:val="0"/>
              <w:pageBreakBefore w:val="0"/>
              <w:widowControl w:val="0"/>
              <w:kinsoku w:val="0"/>
              <w:wordWrap/>
              <w:overflowPunct w:val="0"/>
              <w:topLinePunct w:val="0"/>
              <w:autoSpaceDE w:val="0"/>
              <w:autoSpaceDN/>
              <w:bidi w:val="0"/>
              <w:adjustRightInd/>
              <w:snapToGrid/>
              <w:spacing w:beforeAutospacing="0" w:afterAutospacing="0" w:line="560" w:lineRule="exact"/>
              <w:ind w:left="0" w:right="0" w:firstLine="560" w:firstLineChars="200"/>
              <w:jc w:val="both"/>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eastAsia="zh-CN"/>
              </w:rPr>
              <w:t>不低于9</w:t>
            </w:r>
            <w:r>
              <w:rPr>
                <w:rFonts w:hint="eastAsia" w:ascii="仿宋_GB2312" w:hAnsi="仿宋_GB2312" w:eastAsia="仿宋_GB2312" w:cs="仿宋_GB2312"/>
                <w:color w:val="auto"/>
                <w:spacing w:val="0"/>
                <w:sz w:val="28"/>
                <w:szCs w:val="28"/>
                <w:lang w:val="en-US" w:eastAsia="zh-CN"/>
              </w:rPr>
              <w:t>8</w:t>
            </w:r>
            <w:r>
              <w:rPr>
                <w:rFonts w:hint="eastAsia" w:ascii="仿宋_GB2312" w:hAnsi="仿宋_GB2312" w:eastAsia="仿宋_GB2312" w:cs="仿宋_GB2312"/>
                <w:color w:val="auto"/>
                <w:spacing w:val="0"/>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 w:hRule="atLeast"/>
        </w:trPr>
        <w:tc>
          <w:tcPr>
            <w:tcW w:w="862" w:type="dxa"/>
            <w:vAlign w:val="center"/>
          </w:tcPr>
          <w:p>
            <w:pPr>
              <w:keepNext w:val="0"/>
              <w:keepLines w:val="0"/>
              <w:pageBreakBefore w:val="0"/>
              <w:widowControl w:val="0"/>
              <w:kinsoku w:val="0"/>
              <w:wordWrap/>
              <w:overflowPunct w:val="0"/>
              <w:topLinePunct w:val="0"/>
              <w:autoSpaceDE w:val="0"/>
              <w:autoSpaceDN/>
              <w:bidi w:val="0"/>
              <w:adjustRightInd/>
              <w:snapToGrid/>
              <w:spacing w:beforeAutospacing="0" w:afterAutospacing="0" w:line="560" w:lineRule="exact"/>
              <w:ind w:right="0"/>
              <w:jc w:val="center"/>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eastAsia="zh-CN"/>
              </w:rPr>
              <w:t>3</w:t>
            </w:r>
          </w:p>
        </w:tc>
        <w:tc>
          <w:tcPr>
            <w:tcW w:w="5752" w:type="dxa"/>
            <w:vAlign w:val="center"/>
          </w:tcPr>
          <w:p>
            <w:pPr>
              <w:keepNext w:val="0"/>
              <w:keepLines w:val="0"/>
              <w:pageBreakBefore w:val="0"/>
              <w:widowControl w:val="0"/>
              <w:kinsoku w:val="0"/>
              <w:wordWrap/>
              <w:overflowPunct w:val="0"/>
              <w:topLinePunct w:val="0"/>
              <w:autoSpaceDE w:val="0"/>
              <w:autoSpaceDN/>
              <w:bidi w:val="0"/>
              <w:adjustRightInd/>
              <w:snapToGrid/>
              <w:spacing w:beforeAutospacing="0" w:afterAutospacing="0" w:line="560" w:lineRule="exact"/>
              <w:ind w:left="0" w:right="0" w:firstLine="560" w:firstLineChars="200"/>
              <w:jc w:val="center"/>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eastAsia="zh-CN"/>
              </w:rPr>
              <w:t>食品加工业产品质量合格率</w:t>
            </w:r>
          </w:p>
        </w:tc>
        <w:tc>
          <w:tcPr>
            <w:tcW w:w="2317" w:type="dxa"/>
            <w:vAlign w:val="center"/>
          </w:tcPr>
          <w:p>
            <w:pPr>
              <w:keepNext w:val="0"/>
              <w:keepLines w:val="0"/>
              <w:pageBreakBefore w:val="0"/>
              <w:widowControl w:val="0"/>
              <w:kinsoku w:val="0"/>
              <w:wordWrap/>
              <w:overflowPunct w:val="0"/>
              <w:topLinePunct w:val="0"/>
              <w:autoSpaceDE w:val="0"/>
              <w:autoSpaceDN/>
              <w:bidi w:val="0"/>
              <w:adjustRightInd/>
              <w:snapToGrid/>
              <w:spacing w:beforeAutospacing="0" w:afterAutospacing="0" w:line="560" w:lineRule="exact"/>
              <w:ind w:right="0"/>
              <w:jc w:val="center"/>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eastAsia="zh-CN"/>
              </w:rPr>
              <w:t>不低于9</w:t>
            </w:r>
            <w:r>
              <w:rPr>
                <w:rFonts w:hint="eastAsia" w:ascii="仿宋_GB2312" w:hAnsi="仿宋_GB2312" w:eastAsia="仿宋_GB2312" w:cs="仿宋_GB2312"/>
                <w:color w:val="auto"/>
                <w:spacing w:val="0"/>
                <w:sz w:val="28"/>
                <w:szCs w:val="28"/>
                <w:lang w:val="en-US" w:eastAsia="zh-CN"/>
              </w:rPr>
              <w:t>8.5</w:t>
            </w:r>
            <w:r>
              <w:rPr>
                <w:rFonts w:hint="eastAsia" w:ascii="仿宋_GB2312" w:hAnsi="仿宋_GB2312" w:eastAsia="仿宋_GB2312" w:cs="仿宋_GB2312"/>
                <w:color w:val="auto"/>
                <w:spacing w:val="0"/>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 w:hRule="atLeast"/>
        </w:trPr>
        <w:tc>
          <w:tcPr>
            <w:tcW w:w="862" w:type="dxa"/>
            <w:vAlign w:val="center"/>
          </w:tcPr>
          <w:p>
            <w:pPr>
              <w:keepNext w:val="0"/>
              <w:keepLines w:val="0"/>
              <w:pageBreakBefore w:val="0"/>
              <w:widowControl w:val="0"/>
              <w:kinsoku w:val="0"/>
              <w:wordWrap/>
              <w:overflowPunct w:val="0"/>
              <w:topLinePunct w:val="0"/>
              <w:autoSpaceDE w:val="0"/>
              <w:autoSpaceDN/>
              <w:bidi w:val="0"/>
              <w:adjustRightInd/>
              <w:snapToGrid/>
              <w:spacing w:beforeAutospacing="0" w:afterAutospacing="0" w:line="560" w:lineRule="exact"/>
              <w:ind w:right="0"/>
              <w:jc w:val="center"/>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eastAsia="zh-CN"/>
              </w:rPr>
              <w:t>4</w:t>
            </w:r>
          </w:p>
        </w:tc>
        <w:tc>
          <w:tcPr>
            <w:tcW w:w="5752" w:type="dxa"/>
            <w:vAlign w:val="center"/>
          </w:tcPr>
          <w:p>
            <w:pPr>
              <w:keepNext w:val="0"/>
              <w:keepLines w:val="0"/>
              <w:pageBreakBefore w:val="0"/>
              <w:widowControl w:val="0"/>
              <w:kinsoku w:val="0"/>
              <w:wordWrap/>
              <w:overflowPunct w:val="0"/>
              <w:topLinePunct w:val="0"/>
              <w:autoSpaceDE w:val="0"/>
              <w:autoSpaceDN/>
              <w:bidi w:val="0"/>
              <w:adjustRightInd/>
              <w:snapToGrid/>
              <w:spacing w:beforeAutospacing="0" w:afterAutospacing="0" w:line="560" w:lineRule="exact"/>
              <w:ind w:left="0" w:right="0" w:firstLine="560" w:firstLineChars="200"/>
              <w:jc w:val="center"/>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eastAsia="zh-CN"/>
              </w:rPr>
              <w:t>重点食品省级质量监督抽检合格率</w:t>
            </w:r>
          </w:p>
        </w:tc>
        <w:tc>
          <w:tcPr>
            <w:tcW w:w="2317" w:type="dxa"/>
            <w:vAlign w:val="center"/>
          </w:tcPr>
          <w:p>
            <w:pPr>
              <w:keepNext w:val="0"/>
              <w:keepLines w:val="0"/>
              <w:pageBreakBefore w:val="0"/>
              <w:widowControl w:val="0"/>
              <w:kinsoku w:val="0"/>
              <w:wordWrap/>
              <w:overflowPunct w:val="0"/>
              <w:topLinePunct w:val="0"/>
              <w:autoSpaceDE w:val="0"/>
              <w:autoSpaceDN/>
              <w:bidi w:val="0"/>
              <w:adjustRightInd/>
              <w:snapToGrid/>
              <w:spacing w:beforeAutospacing="0" w:afterAutospacing="0" w:line="560" w:lineRule="exact"/>
              <w:ind w:right="0"/>
              <w:jc w:val="center"/>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eastAsia="zh-CN"/>
              </w:rPr>
              <w:t>不低于99%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 w:hRule="atLeast"/>
        </w:trPr>
        <w:tc>
          <w:tcPr>
            <w:tcW w:w="862" w:type="dxa"/>
            <w:vAlign w:val="center"/>
          </w:tcPr>
          <w:p>
            <w:pPr>
              <w:keepNext w:val="0"/>
              <w:keepLines w:val="0"/>
              <w:pageBreakBefore w:val="0"/>
              <w:widowControl w:val="0"/>
              <w:kinsoku w:val="0"/>
              <w:wordWrap/>
              <w:overflowPunct w:val="0"/>
              <w:topLinePunct w:val="0"/>
              <w:autoSpaceDE w:val="0"/>
              <w:autoSpaceDN/>
              <w:bidi w:val="0"/>
              <w:adjustRightInd/>
              <w:snapToGrid/>
              <w:spacing w:beforeAutospacing="0" w:afterAutospacing="0" w:line="560" w:lineRule="exact"/>
              <w:ind w:right="0"/>
              <w:jc w:val="center"/>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eastAsia="zh-CN"/>
              </w:rPr>
              <w:t>5</w:t>
            </w:r>
          </w:p>
        </w:tc>
        <w:tc>
          <w:tcPr>
            <w:tcW w:w="5752" w:type="dxa"/>
            <w:vAlign w:val="center"/>
          </w:tcPr>
          <w:p>
            <w:pPr>
              <w:keepNext w:val="0"/>
              <w:keepLines w:val="0"/>
              <w:pageBreakBefore w:val="0"/>
              <w:widowControl w:val="0"/>
              <w:kinsoku w:val="0"/>
              <w:wordWrap/>
              <w:overflowPunct w:val="0"/>
              <w:topLinePunct w:val="0"/>
              <w:autoSpaceDE w:val="0"/>
              <w:autoSpaceDN/>
              <w:bidi w:val="0"/>
              <w:adjustRightInd/>
              <w:snapToGrid/>
              <w:spacing w:beforeAutospacing="0" w:afterAutospacing="0" w:line="560" w:lineRule="exact"/>
              <w:ind w:left="0" w:right="0" w:firstLine="560" w:firstLineChars="200"/>
              <w:jc w:val="center"/>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eastAsia="zh-CN"/>
              </w:rPr>
              <w:t>食品行业新增绿色食品认证</w:t>
            </w:r>
          </w:p>
        </w:tc>
        <w:tc>
          <w:tcPr>
            <w:tcW w:w="2317" w:type="dxa"/>
            <w:vAlign w:val="center"/>
          </w:tcPr>
          <w:p>
            <w:pPr>
              <w:keepNext w:val="0"/>
              <w:keepLines w:val="0"/>
              <w:pageBreakBefore w:val="0"/>
              <w:widowControl w:val="0"/>
              <w:kinsoku w:val="0"/>
              <w:wordWrap/>
              <w:overflowPunct w:val="0"/>
              <w:topLinePunct w:val="0"/>
              <w:autoSpaceDE w:val="0"/>
              <w:autoSpaceDN/>
              <w:bidi w:val="0"/>
              <w:adjustRightInd/>
              <w:snapToGrid/>
              <w:spacing w:beforeAutospacing="0" w:afterAutospacing="0" w:line="560" w:lineRule="exact"/>
              <w:ind w:right="0"/>
              <w:jc w:val="center"/>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eastAsia="zh-CN"/>
              </w:rPr>
              <w:t>不低于</w:t>
            </w:r>
            <w:r>
              <w:rPr>
                <w:rFonts w:hint="eastAsia" w:ascii="仿宋_GB2312" w:hAnsi="仿宋_GB2312" w:eastAsia="仿宋_GB2312" w:cs="仿宋_GB2312"/>
                <w:color w:val="auto"/>
                <w:spacing w:val="0"/>
                <w:sz w:val="28"/>
                <w:szCs w:val="28"/>
                <w:lang w:val="en-US" w:eastAsia="zh-CN"/>
              </w:rPr>
              <w:t>9个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 w:hRule="atLeast"/>
        </w:trPr>
        <w:tc>
          <w:tcPr>
            <w:tcW w:w="862" w:type="dxa"/>
            <w:vAlign w:val="center"/>
          </w:tcPr>
          <w:p>
            <w:pPr>
              <w:keepNext w:val="0"/>
              <w:keepLines w:val="0"/>
              <w:pageBreakBefore w:val="0"/>
              <w:widowControl w:val="0"/>
              <w:kinsoku w:val="0"/>
              <w:wordWrap/>
              <w:overflowPunct w:val="0"/>
              <w:topLinePunct w:val="0"/>
              <w:autoSpaceDE w:val="0"/>
              <w:autoSpaceDN/>
              <w:bidi w:val="0"/>
              <w:adjustRightInd/>
              <w:snapToGrid/>
              <w:spacing w:beforeAutospacing="0" w:afterAutospacing="0" w:line="560" w:lineRule="exact"/>
              <w:ind w:right="0"/>
              <w:jc w:val="center"/>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eastAsia="zh-CN"/>
              </w:rPr>
              <w:t>6</w:t>
            </w:r>
          </w:p>
        </w:tc>
        <w:tc>
          <w:tcPr>
            <w:tcW w:w="5752" w:type="dxa"/>
            <w:vAlign w:val="center"/>
          </w:tcPr>
          <w:p>
            <w:pPr>
              <w:keepNext w:val="0"/>
              <w:keepLines w:val="0"/>
              <w:pageBreakBefore w:val="0"/>
              <w:widowControl w:val="0"/>
              <w:kinsoku w:val="0"/>
              <w:wordWrap/>
              <w:overflowPunct w:val="0"/>
              <w:topLinePunct w:val="0"/>
              <w:autoSpaceDE w:val="0"/>
              <w:autoSpaceDN/>
              <w:bidi w:val="0"/>
              <w:adjustRightInd/>
              <w:snapToGrid/>
              <w:spacing w:beforeAutospacing="0" w:afterAutospacing="0" w:line="560" w:lineRule="exact"/>
              <w:ind w:left="0" w:right="0" w:firstLine="560" w:firstLineChars="200"/>
              <w:jc w:val="center"/>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eastAsia="zh-CN"/>
              </w:rPr>
              <w:t>药品经营企业100%通过GSP认证率</w:t>
            </w:r>
          </w:p>
        </w:tc>
        <w:tc>
          <w:tcPr>
            <w:tcW w:w="2317" w:type="dxa"/>
            <w:vAlign w:val="center"/>
          </w:tcPr>
          <w:p>
            <w:pPr>
              <w:keepNext w:val="0"/>
              <w:keepLines w:val="0"/>
              <w:pageBreakBefore w:val="0"/>
              <w:widowControl w:val="0"/>
              <w:kinsoku w:val="0"/>
              <w:wordWrap/>
              <w:overflowPunct w:val="0"/>
              <w:topLinePunct w:val="0"/>
              <w:autoSpaceDE w:val="0"/>
              <w:autoSpaceDN/>
              <w:bidi w:val="0"/>
              <w:adjustRightInd/>
              <w:snapToGrid/>
              <w:spacing w:beforeAutospacing="0" w:afterAutospacing="0" w:line="560" w:lineRule="exact"/>
              <w:ind w:right="0"/>
              <w:jc w:val="center"/>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 w:hRule="atLeast"/>
        </w:trPr>
        <w:tc>
          <w:tcPr>
            <w:tcW w:w="862" w:type="dxa"/>
            <w:vAlign w:val="center"/>
          </w:tcPr>
          <w:p>
            <w:pPr>
              <w:keepNext w:val="0"/>
              <w:keepLines w:val="0"/>
              <w:pageBreakBefore w:val="0"/>
              <w:widowControl w:val="0"/>
              <w:kinsoku w:val="0"/>
              <w:wordWrap/>
              <w:overflowPunct w:val="0"/>
              <w:topLinePunct w:val="0"/>
              <w:autoSpaceDE w:val="0"/>
              <w:autoSpaceDN/>
              <w:bidi w:val="0"/>
              <w:adjustRightInd/>
              <w:snapToGrid/>
              <w:spacing w:beforeAutospacing="0" w:afterAutospacing="0" w:line="560" w:lineRule="exact"/>
              <w:ind w:right="0"/>
              <w:jc w:val="center"/>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eastAsia="zh-CN"/>
              </w:rPr>
              <w:t>7</w:t>
            </w:r>
          </w:p>
        </w:tc>
        <w:tc>
          <w:tcPr>
            <w:tcW w:w="5752" w:type="dxa"/>
            <w:vAlign w:val="center"/>
          </w:tcPr>
          <w:p>
            <w:pPr>
              <w:keepNext w:val="0"/>
              <w:keepLines w:val="0"/>
              <w:pageBreakBefore w:val="0"/>
              <w:widowControl w:val="0"/>
              <w:kinsoku w:val="0"/>
              <w:wordWrap/>
              <w:overflowPunct w:val="0"/>
              <w:topLinePunct w:val="0"/>
              <w:autoSpaceDE w:val="0"/>
              <w:autoSpaceDN/>
              <w:bidi w:val="0"/>
              <w:adjustRightInd/>
              <w:snapToGrid/>
              <w:spacing w:beforeAutospacing="0" w:afterAutospacing="0" w:line="560" w:lineRule="exact"/>
              <w:ind w:left="0" w:right="0" w:firstLine="560" w:firstLineChars="200"/>
              <w:jc w:val="center"/>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eastAsia="zh-CN"/>
              </w:rPr>
              <w:t>消费品行业国家纳入重点领域消费品监督抽查合格率</w:t>
            </w:r>
          </w:p>
        </w:tc>
        <w:tc>
          <w:tcPr>
            <w:tcW w:w="2317" w:type="dxa"/>
            <w:vAlign w:val="center"/>
          </w:tcPr>
          <w:p>
            <w:pPr>
              <w:keepNext w:val="0"/>
              <w:keepLines w:val="0"/>
              <w:pageBreakBefore w:val="0"/>
              <w:widowControl w:val="0"/>
              <w:kinsoku w:val="0"/>
              <w:wordWrap/>
              <w:overflowPunct w:val="0"/>
              <w:topLinePunct w:val="0"/>
              <w:autoSpaceDE w:val="0"/>
              <w:autoSpaceDN/>
              <w:bidi w:val="0"/>
              <w:adjustRightInd/>
              <w:snapToGrid/>
              <w:spacing w:beforeAutospacing="0" w:afterAutospacing="0" w:line="560" w:lineRule="exact"/>
              <w:ind w:right="0"/>
              <w:jc w:val="center"/>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eastAsia="zh-CN"/>
              </w:rPr>
              <w:t>95%以上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 w:hRule="atLeast"/>
        </w:trPr>
        <w:tc>
          <w:tcPr>
            <w:tcW w:w="862" w:type="dxa"/>
            <w:vAlign w:val="center"/>
          </w:tcPr>
          <w:p>
            <w:pPr>
              <w:keepNext w:val="0"/>
              <w:keepLines w:val="0"/>
              <w:pageBreakBefore w:val="0"/>
              <w:widowControl w:val="0"/>
              <w:kinsoku w:val="0"/>
              <w:wordWrap/>
              <w:overflowPunct w:val="0"/>
              <w:topLinePunct w:val="0"/>
              <w:autoSpaceDE w:val="0"/>
              <w:autoSpaceDN/>
              <w:bidi w:val="0"/>
              <w:adjustRightInd/>
              <w:snapToGrid/>
              <w:spacing w:beforeAutospacing="0" w:afterAutospacing="0" w:line="560" w:lineRule="exact"/>
              <w:ind w:right="0"/>
              <w:jc w:val="center"/>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eastAsia="zh-CN"/>
              </w:rPr>
              <w:t>8</w:t>
            </w:r>
          </w:p>
        </w:tc>
        <w:tc>
          <w:tcPr>
            <w:tcW w:w="5752" w:type="dxa"/>
            <w:vAlign w:val="center"/>
          </w:tcPr>
          <w:p>
            <w:pPr>
              <w:keepNext w:val="0"/>
              <w:keepLines w:val="0"/>
              <w:pageBreakBefore w:val="0"/>
              <w:widowControl w:val="0"/>
              <w:kinsoku w:val="0"/>
              <w:wordWrap/>
              <w:overflowPunct w:val="0"/>
              <w:topLinePunct w:val="0"/>
              <w:autoSpaceDE w:val="0"/>
              <w:autoSpaceDN/>
              <w:bidi w:val="0"/>
              <w:adjustRightInd/>
              <w:snapToGrid/>
              <w:spacing w:beforeAutospacing="0" w:afterAutospacing="0" w:line="560" w:lineRule="exact"/>
              <w:ind w:left="0" w:right="0" w:firstLine="560" w:firstLineChars="200"/>
              <w:jc w:val="center"/>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eastAsia="zh-CN"/>
              </w:rPr>
              <w:t>大中型工程项目一次验收合格率</w:t>
            </w:r>
          </w:p>
        </w:tc>
        <w:tc>
          <w:tcPr>
            <w:tcW w:w="2317" w:type="dxa"/>
            <w:vAlign w:val="center"/>
          </w:tcPr>
          <w:p>
            <w:pPr>
              <w:keepNext w:val="0"/>
              <w:keepLines w:val="0"/>
              <w:pageBreakBefore w:val="0"/>
              <w:widowControl w:val="0"/>
              <w:kinsoku w:val="0"/>
              <w:wordWrap/>
              <w:overflowPunct w:val="0"/>
              <w:topLinePunct w:val="0"/>
              <w:autoSpaceDE w:val="0"/>
              <w:autoSpaceDN/>
              <w:bidi w:val="0"/>
              <w:adjustRightInd/>
              <w:snapToGrid/>
              <w:spacing w:beforeAutospacing="0" w:afterAutospacing="0" w:line="560" w:lineRule="exact"/>
              <w:ind w:left="0" w:right="0" w:firstLine="560" w:firstLineChars="200"/>
              <w:jc w:val="center"/>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eastAsia="zh-CN"/>
              </w:rPr>
              <w:t>达到 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 w:hRule="atLeast"/>
        </w:trPr>
        <w:tc>
          <w:tcPr>
            <w:tcW w:w="862" w:type="dxa"/>
            <w:vAlign w:val="center"/>
          </w:tcPr>
          <w:p>
            <w:pPr>
              <w:keepNext w:val="0"/>
              <w:keepLines w:val="0"/>
              <w:pageBreakBefore w:val="0"/>
              <w:widowControl w:val="0"/>
              <w:kinsoku w:val="0"/>
              <w:wordWrap/>
              <w:overflowPunct w:val="0"/>
              <w:topLinePunct w:val="0"/>
              <w:autoSpaceDE w:val="0"/>
              <w:autoSpaceDN/>
              <w:bidi w:val="0"/>
              <w:adjustRightInd/>
              <w:snapToGrid/>
              <w:spacing w:beforeAutospacing="0" w:afterAutospacing="0" w:line="560" w:lineRule="exact"/>
              <w:ind w:right="0"/>
              <w:jc w:val="center"/>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eastAsia="zh-CN"/>
              </w:rPr>
              <w:t>9</w:t>
            </w:r>
          </w:p>
        </w:tc>
        <w:tc>
          <w:tcPr>
            <w:tcW w:w="5752" w:type="dxa"/>
            <w:vAlign w:val="center"/>
          </w:tcPr>
          <w:p>
            <w:pPr>
              <w:keepNext w:val="0"/>
              <w:keepLines w:val="0"/>
              <w:pageBreakBefore w:val="0"/>
              <w:widowControl w:val="0"/>
              <w:kinsoku w:val="0"/>
              <w:wordWrap/>
              <w:overflowPunct w:val="0"/>
              <w:topLinePunct w:val="0"/>
              <w:autoSpaceDE w:val="0"/>
              <w:autoSpaceDN/>
              <w:bidi w:val="0"/>
              <w:adjustRightInd/>
              <w:snapToGrid/>
              <w:spacing w:beforeAutospacing="0" w:afterAutospacing="0" w:line="560" w:lineRule="exact"/>
              <w:ind w:left="0" w:right="0" w:firstLine="560" w:firstLineChars="200"/>
              <w:jc w:val="center"/>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eastAsia="zh-CN"/>
              </w:rPr>
              <w:t>其他工程一次验收合格率</w:t>
            </w:r>
          </w:p>
        </w:tc>
        <w:tc>
          <w:tcPr>
            <w:tcW w:w="2317" w:type="dxa"/>
            <w:vAlign w:val="center"/>
          </w:tcPr>
          <w:p>
            <w:pPr>
              <w:keepNext w:val="0"/>
              <w:keepLines w:val="0"/>
              <w:pageBreakBefore w:val="0"/>
              <w:widowControl w:val="0"/>
              <w:kinsoku w:val="0"/>
              <w:wordWrap/>
              <w:overflowPunct w:val="0"/>
              <w:topLinePunct w:val="0"/>
              <w:autoSpaceDE w:val="0"/>
              <w:autoSpaceDN/>
              <w:bidi w:val="0"/>
              <w:adjustRightInd/>
              <w:snapToGrid/>
              <w:spacing w:beforeAutospacing="0" w:afterAutospacing="0" w:line="560" w:lineRule="exact"/>
              <w:ind w:left="0" w:right="0" w:firstLine="560" w:firstLineChars="200"/>
              <w:jc w:val="both"/>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eastAsia="zh-CN"/>
              </w:rPr>
              <w:t>不低于9</w:t>
            </w:r>
            <w:r>
              <w:rPr>
                <w:rFonts w:hint="eastAsia" w:ascii="仿宋_GB2312" w:hAnsi="仿宋_GB2312" w:eastAsia="仿宋_GB2312" w:cs="仿宋_GB2312"/>
                <w:color w:val="auto"/>
                <w:spacing w:val="0"/>
                <w:sz w:val="28"/>
                <w:szCs w:val="28"/>
                <w:lang w:val="en-US" w:eastAsia="zh-CN"/>
              </w:rPr>
              <w:t>8</w:t>
            </w:r>
            <w:r>
              <w:rPr>
                <w:rFonts w:hint="eastAsia" w:ascii="仿宋_GB2312" w:hAnsi="仿宋_GB2312" w:eastAsia="仿宋_GB2312" w:cs="仿宋_GB2312"/>
                <w:color w:val="auto"/>
                <w:spacing w:val="0"/>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 w:hRule="atLeast"/>
        </w:trPr>
        <w:tc>
          <w:tcPr>
            <w:tcW w:w="862" w:type="dxa"/>
            <w:vAlign w:val="center"/>
          </w:tcPr>
          <w:p>
            <w:pPr>
              <w:keepNext w:val="0"/>
              <w:keepLines w:val="0"/>
              <w:pageBreakBefore w:val="0"/>
              <w:widowControl w:val="0"/>
              <w:kinsoku w:val="0"/>
              <w:wordWrap/>
              <w:overflowPunct w:val="0"/>
              <w:topLinePunct w:val="0"/>
              <w:autoSpaceDE w:val="0"/>
              <w:autoSpaceDN/>
              <w:bidi w:val="0"/>
              <w:adjustRightInd/>
              <w:snapToGrid/>
              <w:spacing w:beforeAutospacing="0" w:afterAutospacing="0" w:line="560" w:lineRule="exact"/>
              <w:ind w:right="0"/>
              <w:jc w:val="center"/>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eastAsia="zh-CN"/>
              </w:rPr>
              <w:t>10</w:t>
            </w:r>
          </w:p>
        </w:tc>
        <w:tc>
          <w:tcPr>
            <w:tcW w:w="5752" w:type="dxa"/>
            <w:vAlign w:val="center"/>
          </w:tcPr>
          <w:p>
            <w:pPr>
              <w:keepNext w:val="0"/>
              <w:keepLines w:val="0"/>
              <w:pageBreakBefore w:val="0"/>
              <w:widowControl w:val="0"/>
              <w:kinsoku w:val="0"/>
              <w:wordWrap/>
              <w:overflowPunct w:val="0"/>
              <w:topLinePunct w:val="0"/>
              <w:autoSpaceDE w:val="0"/>
              <w:autoSpaceDN/>
              <w:bidi w:val="0"/>
              <w:adjustRightInd/>
              <w:snapToGrid/>
              <w:spacing w:beforeAutospacing="0" w:afterAutospacing="0" w:line="560" w:lineRule="exact"/>
              <w:ind w:left="0" w:right="0" w:firstLine="560" w:firstLineChars="200"/>
              <w:jc w:val="center"/>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eastAsia="zh-CN"/>
              </w:rPr>
              <w:t>工程项目国家标准和要求执行率</w:t>
            </w:r>
          </w:p>
        </w:tc>
        <w:tc>
          <w:tcPr>
            <w:tcW w:w="2317" w:type="dxa"/>
            <w:vAlign w:val="center"/>
          </w:tcPr>
          <w:p>
            <w:pPr>
              <w:keepNext w:val="0"/>
              <w:keepLines w:val="0"/>
              <w:pageBreakBefore w:val="0"/>
              <w:widowControl w:val="0"/>
              <w:kinsoku w:val="0"/>
              <w:wordWrap/>
              <w:overflowPunct w:val="0"/>
              <w:topLinePunct w:val="0"/>
              <w:autoSpaceDE w:val="0"/>
              <w:autoSpaceDN/>
              <w:bidi w:val="0"/>
              <w:adjustRightInd/>
              <w:snapToGrid/>
              <w:spacing w:beforeAutospacing="0" w:afterAutospacing="0" w:line="560" w:lineRule="exact"/>
              <w:ind w:left="0" w:right="0" w:firstLine="560" w:firstLineChars="200"/>
              <w:jc w:val="both"/>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eastAsia="zh-CN"/>
              </w:rPr>
              <w:t>达到 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 w:hRule="atLeast"/>
        </w:trPr>
        <w:tc>
          <w:tcPr>
            <w:tcW w:w="862" w:type="dxa"/>
            <w:vAlign w:val="center"/>
          </w:tcPr>
          <w:p>
            <w:pPr>
              <w:keepNext w:val="0"/>
              <w:keepLines w:val="0"/>
              <w:pageBreakBefore w:val="0"/>
              <w:widowControl w:val="0"/>
              <w:kinsoku w:val="0"/>
              <w:wordWrap/>
              <w:overflowPunct w:val="0"/>
              <w:topLinePunct w:val="0"/>
              <w:autoSpaceDE w:val="0"/>
              <w:autoSpaceDN/>
              <w:bidi w:val="0"/>
              <w:adjustRightInd/>
              <w:snapToGrid/>
              <w:spacing w:beforeAutospacing="0" w:afterAutospacing="0" w:line="560" w:lineRule="exact"/>
              <w:ind w:right="0"/>
              <w:jc w:val="center"/>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eastAsia="zh-CN"/>
              </w:rPr>
              <w:t>11</w:t>
            </w:r>
          </w:p>
        </w:tc>
        <w:tc>
          <w:tcPr>
            <w:tcW w:w="5752" w:type="dxa"/>
            <w:vAlign w:val="center"/>
          </w:tcPr>
          <w:p>
            <w:pPr>
              <w:keepNext w:val="0"/>
              <w:keepLines w:val="0"/>
              <w:pageBreakBefore w:val="0"/>
              <w:widowControl w:val="0"/>
              <w:kinsoku w:val="0"/>
              <w:wordWrap/>
              <w:overflowPunct w:val="0"/>
              <w:topLinePunct w:val="0"/>
              <w:autoSpaceDE w:val="0"/>
              <w:autoSpaceDN/>
              <w:bidi w:val="0"/>
              <w:adjustRightInd/>
              <w:snapToGrid/>
              <w:spacing w:beforeAutospacing="0" w:afterAutospacing="0" w:line="560" w:lineRule="exact"/>
              <w:ind w:left="0" w:right="0" w:firstLine="560" w:firstLineChars="200"/>
              <w:jc w:val="center"/>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eastAsia="zh-CN"/>
              </w:rPr>
              <w:t>新开工建筑节能设计标准执行率</w:t>
            </w:r>
          </w:p>
        </w:tc>
        <w:tc>
          <w:tcPr>
            <w:tcW w:w="2317" w:type="dxa"/>
            <w:vAlign w:val="center"/>
          </w:tcPr>
          <w:p>
            <w:pPr>
              <w:keepNext w:val="0"/>
              <w:keepLines w:val="0"/>
              <w:pageBreakBefore w:val="0"/>
              <w:widowControl w:val="0"/>
              <w:kinsoku w:val="0"/>
              <w:wordWrap/>
              <w:overflowPunct w:val="0"/>
              <w:topLinePunct w:val="0"/>
              <w:autoSpaceDE w:val="0"/>
              <w:autoSpaceDN/>
              <w:bidi w:val="0"/>
              <w:adjustRightInd/>
              <w:snapToGrid/>
              <w:spacing w:beforeAutospacing="0" w:afterAutospacing="0" w:line="560" w:lineRule="exact"/>
              <w:ind w:left="0" w:right="0" w:firstLine="560" w:firstLineChars="200"/>
              <w:jc w:val="both"/>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eastAsia="zh-CN"/>
              </w:rPr>
              <w:t>达到 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 w:hRule="atLeast"/>
        </w:trPr>
        <w:tc>
          <w:tcPr>
            <w:tcW w:w="862" w:type="dxa"/>
            <w:vAlign w:val="center"/>
          </w:tcPr>
          <w:p>
            <w:pPr>
              <w:keepNext w:val="0"/>
              <w:keepLines w:val="0"/>
              <w:pageBreakBefore w:val="0"/>
              <w:widowControl w:val="0"/>
              <w:kinsoku w:val="0"/>
              <w:wordWrap/>
              <w:overflowPunct w:val="0"/>
              <w:topLinePunct w:val="0"/>
              <w:autoSpaceDE w:val="0"/>
              <w:autoSpaceDN/>
              <w:bidi w:val="0"/>
              <w:adjustRightInd/>
              <w:snapToGrid/>
              <w:spacing w:beforeAutospacing="0" w:afterAutospacing="0" w:line="560" w:lineRule="exact"/>
              <w:ind w:right="0"/>
              <w:jc w:val="center"/>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eastAsia="zh-CN"/>
              </w:rPr>
              <w:t>12</w:t>
            </w:r>
          </w:p>
        </w:tc>
        <w:tc>
          <w:tcPr>
            <w:tcW w:w="5752" w:type="dxa"/>
            <w:vAlign w:val="center"/>
          </w:tcPr>
          <w:p>
            <w:pPr>
              <w:keepNext w:val="0"/>
              <w:keepLines w:val="0"/>
              <w:pageBreakBefore w:val="0"/>
              <w:widowControl w:val="0"/>
              <w:kinsoku w:val="0"/>
              <w:wordWrap/>
              <w:overflowPunct w:val="0"/>
              <w:topLinePunct w:val="0"/>
              <w:autoSpaceDE w:val="0"/>
              <w:autoSpaceDN/>
              <w:bidi w:val="0"/>
              <w:adjustRightInd/>
              <w:snapToGrid/>
              <w:spacing w:beforeAutospacing="0" w:afterAutospacing="0" w:line="560" w:lineRule="exact"/>
              <w:ind w:left="0" w:right="0" w:firstLine="560" w:firstLineChars="200"/>
              <w:jc w:val="center"/>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eastAsia="zh-CN"/>
              </w:rPr>
              <w:t>城市行政区域内房屋建筑与市政工程质量监督覆盖率</w:t>
            </w:r>
          </w:p>
        </w:tc>
        <w:tc>
          <w:tcPr>
            <w:tcW w:w="2317" w:type="dxa"/>
            <w:vAlign w:val="center"/>
          </w:tcPr>
          <w:p>
            <w:pPr>
              <w:keepNext w:val="0"/>
              <w:keepLines w:val="0"/>
              <w:pageBreakBefore w:val="0"/>
              <w:widowControl w:val="0"/>
              <w:kinsoku w:val="0"/>
              <w:wordWrap/>
              <w:overflowPunct w:val="0"/>
              <w:topLinePunct w:val="0"/>
              <w:autoSpaceDE w:val="0"/>
              <w:autoSpaceDN/>
              <w:bidi w:val="0"/>
              <w:adjustRightInd/>
              <w:snapToGrid/>
              <w:spacing w:beforeAutospacing="0" w:afterAutospacing="0" w:line="560" w:lineRule="exact"/>
              <w:ind w:left="0" w:right="0" w:firstLine="560" w:firstLineChars="200"/>
              <w:jc w:val="both"/>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eastAsia="zh-CN"/>
              </w:rPr>
              <w:t>达到100%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 w:hRule="atLeast"/>
        </w:trPr>
        <w:tc>
          <w:tcPr>
            <w:tcW w:w="862" w:type="dxa"/>
            <w:vAlign w:val="center"/>
          </w:tcPr>
          <w:p>
            <w:pPr>
              <w:keepNext w:val="0"/>
              <w:keepLines w:val="0"/>
              <w:pageBreakBefore w:val="0"/>
              <w:widowControl w:val="0"/>
              <w:kinsoku w:val="0"/>
              <w:wordWrap/>
              <w:overflowPunct w:val="0"/>
              <w:topLinePunct w:val="0"/>
              <w:autoSpaceDE w:val="0"/>
              <w:autoSpaceDN/>
              <w:bidi w:val="0"/>
              <w:adjustRightInd/>
              <w:snapToGrid/>
              <w:spacing w:beforeAutospacing="0" w:afterAutospacing="0" w:line="560" w:lineRule="exact"/>
              <w:ind w:right="0"/>
              <w:jc w:val="center"/>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eastAsia="zh-CN"/>
              </w:rPr>
              <w:t>13</w:t>
            </w:r>
          </w:p>
        </w:tc>
        <w:tc>
          <w:tcPr>
            <w:tcW w:w="5752" w:type="dxa"/>
            <w:vAlign w:val="center"/>
          </w:tcPr>
          <w:p>
            <w:pPr>
              <w:keepNext w:val="0"/>
              <w:keepLines w:val="0"/>
              <w:pageBreakBefore w:val="0"/>
              <w:widowControl w:val="0"/>
              <w:kinsoku w:val="0"/>
              <w:wordWrap/>
              <w:overflowPunct w:val="0"/>
              <w:topLinePunct w:val="0"/>
              <w:autoSpaceDE w:val="0"/>
              <w:autoSpaceDN/>
              <w:bidi w:val="0"/>
              <w:adjustRightInd/>
              <w:snapToGrid/>
              <w:spacing w:beforeAutospacing="0" w:afterAutospacing="0" w:line="560" w:lineRule="exact"/>
              <w:ind w:left="0" w:right="0" w:firstLine="560" w:firstLineChars="200"/>
              <w:jc w:val="center"/>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eastAsia="zh-CN"/>
              </w:rPr>
              <w:t>服务业顾客满意度测评分值</w:t>
            </w:r>
          </w:p>
        </w:tc>
        <w:tc>
          <w:tcPr>
            <w:tcW w:w="2317" w:type="dxa"/>
            <w:vAlign w:val="center"/>
          </w:tcPr>
          <w:p>
            <w:pPr>
              <w:keepNext w:val="0"/>
              <w:keepLines w:val="0"/>
              <w:pageBreakBefore w:val="0"/>
              <w:widowControl w:val="0"/>
              <w:kinsoku w:val="0"/>
              <w:wordWrap/>
              <w:overflowPunct w:val="0"/>
              <w:topLinePunct w:val="0"/>
              <w:autoSpaceDE w:val="0"/>
              <w:autoSpaceDN/>
              <w:bidi w:val="0"/>
              <w:adjustRightInd/>
              <w:snapToGrid/>
              <w:spacing w:beforeAutospacing="0" w:afterAutospacing="0" w:line="560" w:lineRule="exact"/>
              <w:ind w:left="0" w:right="0" w:firstLine="560" w:firstLineChars="200"/>
              <w:jc w:val="both"/>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eastAsia="zh-CN"/>
              </w:rPr>
              <w:t>达到</w:t>
            </w:r>
            <w:r>
              <w:rPr>
                <w:rFonts w:hint="eastAsia" w:ascii="仿宋_GB2312" w:hAnsi="仿宋_GB2312" w:eastAsia="仿宋_GB2312" w:cs="仿宋_GB2312"/>
                <w:color w:val="auto"/>
                <w:spacing w:val="0"/>
                <w:sz w:val="28"/>
                <w:szCs w:val="28"/>
                <w:lang w:val="en-US" w:eastAsia="zh-CN"/>
              </w:rPr>
              <w:t>86分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 w:hRule="atLeast"/>
        </w:trPr>
        <w:tc>
          <w:tcPr>
            <w:tcW w:w="862" w:type="dxa"/>
            <w:vAlign w:val="center"/>
          </w:tcPr>
          <w:p>
            <w:pPr>
              <w:keepNext w:val="0"/>
              <w:keepLines w:val="0"/>
              <w:pageBreakBefore w:val="0"/>
              <w:widowControl w:val="0"/>
              <w:kinsoku w:val="0"/>
              <w:wordWrap/>
              <w:overflowPunct w:val="0"/>
              <w:topLinePunct w:val="0"/>
              <w:autoSpaceDE w:val="0"/>
              <w:autoSpaceDN/>
              <w:bidi w:val="0"/>
              <w:adjustRightInd/>
              <w:snapToGrid/>
              <w:spacing w:beforeAutospacing="0" w:afterAutospacing="0" w:line="560" w:lineRule="exact"/>
              <w:ind w:right="0"/>
              <w:jc w:val="center"/>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eastAsia="zh-CN"/>
              </w:rPr>
              <w:t>14</w:t>
            </w:r>
          </w:p>
        </w:tc>
        <w:tc>
          <w:tcPr>
            <w:tcW w:w="5752" w:type="dxa"/>
            <w:vAlign w:val="center"/>
          </w:tcPr>
          <w:p>
            <w:pPr>
              <w:keepNext w:val="0"/>
              <w:keepLines w:val="0"/>
              <w:pageBreakBefore w:val="0"/>
              <w:widowControl w:val="0"/>
              <w:kinsoku w:val="0"/>
              <w:wordWrap/>
              <w:overflowPunct w:val="0"/>
              <w:topLinePunct w:val="0"/>
              <w:autoSpaceDE w:val="0"/>
              <w:autoSpaceDN/>
              <w:bidi w:val="0"/>
              <w:adjustRightInd/>
              <w:snapToGrid/>
              <w:spacing w:beforeAutospacing="0" w:afterAutospacing="0" w:line="560" w:lineRule="exact"/>
              <w:ind w:left="0" w:right="0" w:firstLine="560" w:firstLineChars="200"/>
              <w:jc w:val="center"/>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eastAsia="zh-CN"/>
              </w:rPr>
              <w:t>县内企业获得省长质量奖</w:t>
            </w:r>
          </w:p>
        </w:tc>
        <w:tc>
          <w:tcPr>
            <w:tcW w:w="2317" w:type="dxa"/>
            <w:vAlign w:val="center"/>
          </w:tcPr>
          <w:p>
            <w:pPr>
              <w:keepNext w:val="0"/>
              <w:keepLines w:val="0"/>
              <w:pageBreakBefore w:val="0"/>
              <w:widowControl w:val="0"/>
              <w:kinsoku w:val="0"/>
              <w:wordWrap/>
              <w:overflowPunct w:val="0"/>
              <w:topLinePunct w:val="0"/>
              <w:autoSpaceDE w:val="0"/>
              <w:autoSpaceDN/>
              <w:bidi w:val="0"/>
              <w:adjustRightInd/>
              <w:snapToGrid/>
              <w:spacing w:beforeAutospacing="0" w:afterAutospacing="0" w:line="560" w:lineRule="exact"/>
              <w:ind w:right="0"/>
              <w:jc w:val="both"/>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2</w:t>
            </w:r>
            <w:r>
              <w:rPr>
                <w:rFonts w:hint="eastAsia" w:ascii="仿宋_GB2312" w:hAnsi="仿宋_GB2312" w:eastAsia="仿宋_GB2312" w:cs="仿宋_GB2312"/>
                <w:color w:val="auto"/>
                <w:spacing w:val="0"/>
                <w:sz w:val="28"/>
                <w:szCs w:val="28"/>
                <w:lang w:eastAsia="zh-CN"/>
              </w:rPr>
              <w:t>项（含提名奖）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 w:hRule="atLeast"/>
        </w:trPr>
        <w:tc>
          <w:tcPr>
            <w:tcW w:w="862" w:type="dxa"/>
            <w:vAlign w:val="center"/>
          </w:tcPr>
          <w:p>
            <w:pPr>
              <w:keepNext w:val="0"/>
              <w:keepLines w:val="0"/>
              <w:pageBreakBefore w:val="0"/>
              <w:widowControl w:val="0"/>
              <w:kinsoku w:val="0"/>
              <w:wordWrap/>
              <w:overflowPunct w:val="0"/>
              <w:topLinePunct w:val="0"/>
              <w:autoSpaceDE w:val="0"/>
              <w:autoSpaceDN/>
              <w:bidi w:val="0"/>
              <w:adjustRightInd/>
              <w:snapToGrid/>
              <w:spacing w:beforeAutospacing="0" w:afterAutospacing="0" w:line="560" w:lineRule="exact"/>
              <w:ind w:right="0"/>
              <w:jc w:val="center"/>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eastAsia="zh-CN"/>
              </w:rPr>
              <w:t>15</w:t>
            </w:r>
          </w:p>
        </w:tc>
        <w:tc>
          <w:tcPr>
            <w:tcW w:w="5752" w:type="dxa"/>
            <w:vAlign w:val="center"/>
          </w:tcPr>
          <w:p>
            <w:pPr>
              <w:keepNext w:val="0"/>
              <w:keepLines w:val="0"/>
              <w:pageBreakBefore w:val="0"/>
              <w:widowControl w:val="0"/>
              <w:kinsoku w:val="0"/>
              <w:wordWrap/>
              <w:overflowPunct w:val="0"/>
              <w:topLinePunct w:val="0"/>
              <w:autoSpaceDE w:val="0"/>
              <w:autoSpaceDN/>
              <w:bidi w:val="0"/>
              <w:adjustRightInd/>
              <w:snapToGrid/>
              <w:spacing w:beforeAutospacing="0" w:afterAutospacing="0" w:line="560" w:lineRule="exact"/>
              <w:ind w:left="0" w:right="0" w:firstLine="560" w:firstLineChars="200"/>
              <w:jc w:val="center"/>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eastAsia="zh-CN"/>
              </w:rPr>
              <w:t>县内企业获得市长质量奖</w:t>
            </w:r>
          </w:p>
        </w:tc>
        <w:tc>
          <w:tcPr>
            <w:tcW w:w="2317" w:type="dxa"/>
            <w:vAlign w:val="center"/>
          </w:tcPr>
          <w:p>
            <w:pPr>
              <w:keepNext w:val="0"/>
              <w:keepLines w:val="0"/>
              <w:pageBreakBefore w:val="0"/>
              <w:widowControl w:val="0"/>
              <w:kinsoku w:val="0"/>
              <w:wordWrap/>
              <w:overflowPunct w:val="0"/>
              <w:topLinePunct w:val="0"/>
              <w:autoSpaceDE w:val="0"/>
              <w:autoSpaceDN/>
              <w:bidi w:val="0"/>
              <w:adjustRightInd/>
              <w:snapToGrid/>
              <w:spacing w:beforeAutospacing="0" w:afterAutospacing="0" w:line="560" w:lineRule="exact"/>
              <w:ind w:left="0" w:right="0" w:firstLine="560" w:firstLineChars="200"/>
              <w:jc w:val="both"/>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10</w:t>
            </w:r>
            <w:r>
              <w:rPr>
                <w:rFonts w:hint="eastAsia" w:ascii="仿宋_GB2312" w:hAnsi="仿宋_GB2312" w:eastAsia="仿宋_GB2312" w:cs="仿宋_GB2312"/>
                <w:color w:val="auto"/>
                <w:spacing w:val="0"/>
                <w:sz w:val="28"/>
                <w:szCs w:val="28"/>
                <w:lang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 w:hRule="atLeast"/>
        </w:trPr>
        <w:tc>
          <w:tcPr>
            <w:tcW w:w="862" w:type="dxa"/>
            <w:vAlign w:val="center"/>
          </w:tcPr>
          <w:p>
            <w:pPr>
              <w:keepNext w:val="0"/>
              <w:keepLines w:val="0"/>
              <w:pageBreakBefore w:val="0"/>
              <w:widowControl w:val="0"/>
              <w:kinsoku w:val="0"/>
              <w:wordWrap/>
              <w:overflowPunct w:val="0"/>
              <w:topLinePunct w:val="0"/>
              <w:autoSpaceDE w:val="0"/>
              <w:autoSpaceDN/>
              <w:bidi w:val="0"/>
              <w:adjustRightInd/>
              <w:snapToGrid/>
              <w:spacing w:beforeAutospacing="0" w:afterAutospacing="0" w:line="560" w:lineRule="exact"/>
              <w:ind w:right="0"/>
              <w:jc w:val="center"/>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16</w:t>
            </w:r>
          </w:p>
        </w:tc>
        <w:tc>
          <w:tcPr>
            <w:tcW w:w="5752" w:type="dxa"/>
            <w:vAlign w:val="center"/>
          </w:tcPr>
          <w:p>
            <w:pPr>
              <w:keepNext w:val="0"/>
              <w:keepLines w:val="0"/>
              <w:pageBreakBefore w:val="0"/>
              <w:widowControl w:val="0"/>
              <w:kinsoku w:val="0"/>
              <w:wordWrap/>
              <w:overflowPunct w:val="0"/>
              <w:topLinePunct w:val="0"/>
              <w:autoSpaceDE w:val="0"/>
              <w:autoSpaceDN/>
              <w:bidi w:val="0"/>
              <w:adjustRightInd/>
              <w:snapToGrid/>
              <w:spacing w:beforeAutospacing="0" w:afterAutospacing="0" w:line="560" w:lineRule="exact"/>
              <w:ind w:left="0" w:right="0" w:firstLine="560" w:firstLineChars="200"/>
              <w:jc w:val="center"/>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eastAsia="zh-CN"/>
              </w:rPr>
              <w:t>培育知名商标</w:t>
            </w:r>
          </w:p>
        </w:tc>
        <w:tc>
          <w:tcPr>
            <w:tcW w:w="2317" w:type="dxa"/>
            <w:vAlign w:val="center"/>
          </w:tcPr>
          <w:p>
            <w:pPr>
              <w:keepNext w:val="0"/>
              <w:keepLines w:val="0"/>
              <w:pageBreakBefore w:val="0"/>
              <w:widowControl w:val="0"/>
              <w:kinsoku w:val="0"/>
              <w:wordWrap/>
              <w:overflowPunct w:val="0"/>
              <w:topLinePunct w:val="0"/>
              <w:autoSpaceDE w:val="0"/>
              <w:autoSpaceDN/>
              <w:bidi w:val="0"/>
              <w:adjustRightInd/>
              <w:snapToGrid/>
              <w:spacing w:beforeAutospacing="0" w:afterAutospacing="0" w:line="560" w:lineRule="exact"/>
              <w:ind w:left="0" w:right="0" w:firstLine="560" w:firstLineChars="200"/>
              <w:jc w:val="both"/>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28个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 w:hRule="atLeast"/>
        </w:trPr>
        <w:tc>
          <w:tcPr>
            <w:tcW w:w="862" w:type="dxa"/>
            <w:vAlign w:val="center"/>
          </w:tcPr>
          <w:p>
            <w:pPr>
              <w:keepNext w:val="0"/>
              <w:keepLines w:val="0"/>
              <w:pageBreakBefore w:val="0"/>
              <w:widowControl w:val="0"/>
              <w:kinsoku w:val="0"/>
              <w:wordWrap/>
              <w:overflowPunct w:val="0"/>
              <w:topLinePunct w:val="0"/>
              <w:autoSpaceDE w:val="0"/>
              <w:autoSpaceDN/>
              <w:bidi w:val="0"/>
              <w:adjustRightInd/>
              <w:snapToGrid/>
              <w:spacing w:beforeAutospacing="0" w:afterAutospacing="0" w:line="560" w:lineRule="exact"/>
              <w:ind w:right="0"/>
              <w:jc w:val="center"/>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17</w:t>
            </w:r>
          </w:p>
        </w:tc>
        <w:tc>
          <w:tcPr>
            <w:tcW w:w="5752" w:type="dxa"/>
            <w:vAlign w:val="center"/>
          </w:tcPr>
          <w:p>
            <w:pPr>
              <w:keepNext w:val="0"/>
              <w:keepLines w:val="0"/>
              <w:pageBreakBefore w:val="0"/>
              <w:widowControl w:val="0"/>
              <w:kinsoku w:val="0"/>
              <w:wordWrap/>
              <w:overflowPunct w:val="0"/>
              <w:topLinePunct w:val="0"/>
              <w:autoSpaceDE w:val="0"/>
              <w:autoSpaceDN/>
              <w:bidi w:val="0"/>
              <w:adjustRightInd/>
              <w:snapToGrid/>
              <w:spacing w:beforeAutospacing="0" w:afterAutospacing="0" w:line="560" w:lineRule="exact"/>
              <w:ind w:left="0" w:right="0" w:firstLine="560" w:firstLineChars="200"/>
              <w:jc w:val="center"/>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新增</w:t>
            </w:r>
            <w:r>
              <w:rPr>
                <w:rFonts w:hint="eastAsia" w:ascii="仿宋_GB2312" w:hAnsi="仿宋_GB2312" w:eastAsia="仿宋_GB2312" w:cs="仿宋_GB2312"/>
                <w:color w:val="auto"/>
                <w:spacing w:val="0"/>
                <w:sz w:val="28"/>
                <w:szCs w:val="28"/>
                <w:lang w:eastAsia="zh-CN"/>
              </w:rPr>
              <w:t>省级检验检测服务中心</w:t>
            </w:r>
          </w:p>
        </w:tc>
        <w:tc>
          <w:tcPr>
            <w:tcW w:w="2317" w:type="dxa"/>
            <w:vAlign w:val="center"/>
          </w:tcPr>
          <w:p>
            <w:pPr>
              <w:keepNext w:val="0"/>
              <w:keepLines w:val="0"/>
              <w:pageBreakBefore w:val="0"/>
              <w:widowControl w:val="0"/>
              <w:kinsoku w:val="0"/>
              <w:wordWrap/>
              <w:overflowPunct w:val="0"/>
              <w:topLinePunct w:val="0"/>
              <w:autoSpaceDE w:val="0"/>
              <w:autoSpaceDN/>
              <w:bidi w:val="0"/>
              <w:adjustRightInd/>
              <w:snapToGrid/>
              <w:spacing w:beforeAutospacing="0" w:afterAutospacing="0" w:line="560" w:lineRule="exact"/>
              <w:ind w:left="0" w:right="0" w:firstLine="560" w:firstLineChars="200"/>
              <w:jc w:val="both"/>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 w:hRule="atLeast"/>
        </w:trPr>
        <w:tc>
          <w:tcPr>
            <w:tcW w:w="862" w:type="dxa"/>
            <w:vAlign w:val="center"/>
          </w:tcPr>
          <w:p>
            <w:pPr>
              <w:keepNext w:val="0"/>
              <w:keepLines w:val="0"/>
              <w:pageBreakBefore w:val="0"/>
              <w:widowControl w:val="0"/>
              <w:kinsoku w:val="0"/>
              <w:wordWrap/>
              <w:overflowPunct w:val="0"/>
              <w:topLinePunct w:val="0"/>
              <w:autoSpaceDE w:val="0"/>
              <w:autoSpaceDN/>
              <w:bidi w:val="0"/>
              <w:adjustRightInd/>
              <w:snapToGrid/>
              <w:spacing w:beforeAutospacing="0" w:afterAutospacing="0" w:line="560" w:lineRule="exact"/>
              <w:ind w:right="0"/>
              <w:jc w:val="center"/>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18</w:t>
            </w:r>
          </w:p>
        </w:tc>
        <w:tc>
          <w:tcPr>
            <w:tcW w:w="5752" w:type="dxa"/>
            <w:vAlign w:val="center"/>
          </w:tcPr>
          <w:p>
            <w:pPr>
              <w:keepNext w:val="0"/>
              <w:keepLines w:val="0"/>
              <w:pageBreakBefore w:val="0"/>
              <w:widowControl w:val="0"/>
              <w:kinsoku w:val="0"/>
              <w:wordWrap/>
              <w:overflowPunct w:val="0"/>
              <w:topLinePunct w:val="0"/>
              <w:autoSpaceDE w:val="0"/>
              <w:autoSpaceDN/>
              <w:bidi w:val="0"/>
              <w:adjustRightInd/>
              <w:snapToGrid/>
              <w:spacing w:beforeAutospacing="0" w:afterAutospacing="0" w:line="560" w:lineRule="exact"/>
              <w:ind w:left="0" w:right="0" w:firstLine="560" w:firstLineChars="200"/>
              <w:jc w:val="center"/>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eastAsia="zh-CN"/>
              </w:rPr>
              <w:t>每万人发明专利拥有量</w:t>
            </w:r>
          </w:p>
        </w:tc>
        <w:tc>
          <w:tcPr>
            <w:tcW w:w="2317" w:type="dxa"/>
            <w:vAlign w:val="center"/>
          </w:tcPr>
          <w:p>
            <w:pPr>
              <w:keepNext w:val="0"/>
              <w:keepLines w:val="0"/>
              <w:pageBreakBefore w:val="0"/>
              <w:widowControl w:val="0"/>
              <w:kinsoku w:val="0"/>
              <w:wordWrap/>
              <w:overflowPunct w:val="0"/>
              <w:topLinePunct w:val="0"/>
              <w:autoSpaceDE w:val="0"/>
              <w:autoSpaceDN/>
              <w:bidi w:val="0"/>
              <w:adjustRightInd/>
              <w:snapToGrid/>
              <w:spacing w:beforeAutospacing="0" w:afterAutospacing="0" w:line="560" w:lineRule="exact"/>
              <w:ind w:right="0"/>
              <w:jc w:val="center"/>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eastAsia="zh-CN"/>
              </w:rPr>
              <w:t>达到</w:t>
            </w:r>
            <w:r>
              <w:rPr>
                <w:rFonts w:hint="eastAsia" w:ascii="仿宋_GB2312" w:hAnsi="仿宋_GB2312" w:eastAsia="仿宋_GB2312" w:cs="仿宋_GB2312"/>
                <w:color w:val="auto"/>
                <w:spacing w:val="0"/>
                <w:sz w:val="28"/>
                <w:szCs w:val="28"/>
                <w:lang w:val="en-US" w:eastAsia="zh-CN"/>
              </w:rPr>
              <w:t>7</w:t>
            </w:r>
            <w:r>
              <w:rPr>
                <w:rFonts w:hint="eastAsia" w:ascii="仿宋_GB2312" w:hAnsi="仿宋_GB2312" w:eastAsia="仿宋_GB2312" w:cs="仿宋_GB2312"/>
                <w:color w:val="auto"/>
                <w:spacing w:val="0"/>
                <w:sz w:val="28"/>
                <w:szCs w:val="28"/>
                <w:lang w:eastAsia="zh-CN"/>
              </w:rPr>
              <w:t>件以上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862" w:type="dxa"/>
            <w:vAlign w:val="center"/>
          </w:tcPr>
          <w:p>
            <w:pPr>
              <w:keepNext w:val="0"/>
              <w:keepLines w:val="0"/>
              <w:pageBreakBefore w:val="0"/>
              <w:widowControl w:val="0"/>
              <w:kinsoku w:val="0"/>
              <w:wordWrap/>
              <w:overflowPunct w:val="0"/>
              <w:topLinePunct w:val="0"/>
              <w:autoSpaceDE w:val="0"/>
              <w:autoSpaceDN/>
              <w:bidi w:val="0"/>
              <w:adjustRightInd/>
              <w:snapToGrid/>
              <w:spacing w:beforeAutospacing="0" w:afterAutospacing="0" w:line="560" w:lineRule="exact"/>
              <w:ind w:right="0"/>
              <w:jc w:val="center"/>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19</w:t>
            </w:r>
          </w:p>
        </w:tc>
        <w:tc>
          <w:tcPr>
            <w:tcW w:w="5752" w:type="dxa"/>
            <w:vAlign w:val="center"/>
          </w:tcPr>
          <w:p>
            <w:pPr>
              <w:keepNext w:val="0"/>
              <w:keepLines w:val="0"/>
              <w:pageBreakBefore w:val="0"/>
              <w:widowControl w:val="0"/>
              <w:kinsoku w:val="0"/>
              <w:wordWrap/>
              <w:overflowPunct w:val="0"/>
              <w:topLinePunct w:val="0"/>
              <w:autoSpaceDE w:val="0"/>
              <w:autoSpaceDN/>
              <w:bidi w:val="0"/>
              <w:adjustRightInd/>
              <w:snapToGrid/>
              <w:spacing w:beforeAutospacing="0" w:afterAutospacing="0" w:line="560" w:lineRule="exact"/>
              <w:ind w:left="0" w:right="0" w:firstLine="560" w:firstLineChars="200"/>
              <w:jc w:val="center"/>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新增</w:t>
            </w:r>
            <w:r>
              <w:rPr>
                <w:rFonts w:hint="eastAsia" w:ascii="仿宋_GB2312" w:hAnsi="仿宋_GB2312" w:eastAsia="仿宋_GB2312" w:cs="仿宋_GB2312"/>
                <w:color w:val="auto"/>
                <w:spacing w:val="0"/>
                <w:sz w:val="28"/>
                <w:szCs w:val="28"/>
                <w:lang w:eastAsia="zh-CN"/>
              </w:rPr>
              <w:t>地理标志商标和地理标志保护产品</w:t>
            </w:r>
          </w:p>
        </w:tc>
        <w:tc>
          <w:tcPr>
            <w:tcW w:w="2317" w:type="dxa"/>
            <w:vAlign w:val="center"/>
          </w:tcPr>
          <w:p>
            <w:pPr>
              <w:keepNext w:val="0"/>
              <w:keepLines w:val="0"/>
              <w:pageBreakBefore w:val="0"/>
              <w:widowControl w:val="0"/>
              <w:kinsoku w:val="0"/>
              <w:wordWrap/>
              <w:overflowPunct w:val="0"/>
              <w:topLinePunct w:val="0"/>
              <w:autoSpaceDE w:val="0"/>
              <w:autoSpaceDN/>
              <w:bidi w:val="0"/>
              <w:adjustRightInd/>
              <w:snapToGrid/>
              <w:spacing w:beforeAutospacing="0" w:afterAutospacing="0" w:line="560" w:lineRule="exact"/>
              <w:ind w:left="0" w:right="0" w:firstLine="560" w:firstLineChars="200"/>
              <w:jc w:val="both"/>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eastAsia="zh-CN"/>
              </w:rPr>
              <w:t>2～3件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 w:hRule="atLeast"/>
        </w:trPr>
        <w:tc>
          <w:tcPr>
            <w:tcW w:w="862" w:type="dxa"/>
            <w:vAlign w:val="center"/>
          </w:tcPr>
          <w:p>
            <w:pPr>
              <w:keepNext w:val="0"/>
              <w:keepLines w:val="0"/>
              <w:pageBreakBefore w:val="0"/>
              <w:widowControl w:val="0"/>
              <w:kinsoku w:val="0"/>
              <w:wordWrap/>
              <w:overflowPunct w:val="0"/>
              <w:topLinePunct w:val="0"/>
              <w:autoSpaceDE w:val="0"/>
              <w:autoSpaceDN/>
              <w:bidi w:val="0"/>
              <w:adjustRightInd/>
              <w:snapToGrid/>
              <w:spacing w:beforeAutospacing="0" w:afterAutospacing="0" w:line="560" w:lineRule="exact"/>
              <w:ind w:right="0"/>
              <w:jc w:val="center"/>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20</w:t>
            </w:r>
          </w:p>
        </w:tc>
        <w:tc>
          <w:tcPr>
            <w:tcW w:w="5752" w:type="dxa"/>
            <w:vAlign w:val="center"/>
          </w:tcPr>
          <w:p>
            <w:pPr>
              <w:keepNext w:val="0"/>
              <w:keepLines w:val="0"/>
              <w:pageBreakBefore w:val="0"/>
              <w:widowControl w:val="0"/>
              <w:kinsoku w:val="0"/>
              <w:wordWrap/>
              <w:overflowPunct w:val="0"/>
              <w:topLinePunct w:val="0"/>
              <w:autoSpaceDE w:val="0"/>
              <w:autoSpaceDN/>
              <w:bidi w:val="0"/>
              <w:adjustRightInd/>
              <w:snapToGrid/>
              <w:spacing w:beforeAutospacing="0" w:afterAutospacing="0" w:line="560" w:lineRule="exact"/>
              <w:ind w:right="0"/>
              <w:jc w:val="center"/>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新增</w:t>
            </w:r>
            <w:r>
              <w:rPr>
                <w:rFonts w:hint="eastAsia" w:ascii="仿宋_GB2312" w:hAnsi="仿宋_GB2312" w:eastAsia="仿宋_GB2312" w:cs="仿宋_GB2312"/>
                <w:color w:val="auto"/>
                <w:spacing w:val="0"/>
                <w:sz w:val="28"/>
                <w:szCs w:val="28"/>
                <w:lang w:eastAsia="zh-CN"/>
              </w:rPr>
              <w:t>企业制修订国家标准、行业标准、地方标准、团体标准</w:t>
            </w:r>
          </w:p>
        </w:tc>
        <w:tc>
          <w:tcPr>
            <w:tcW w:w="2317" w:type="dxa"/>
            <w:vAlign w:val="center"/>
          </w:tcPr>
          <w:p>
            <w:pPr>
              <w:keepNext w:val="0"/>
              <w:keepLines w:val="0"/>
              <w:pageBreakBefore w:val="0"/>
              <w:widowControl w:val="0"/>
              <w:kinsoku w:val="0"/>
              <w:wordWrap/>
              <w:overflowPunct w:val="0"/>
              <w:topLinePunct w:val="0"/>
              <w:autoSpaceDE w:val="0"/>
              <w:autoSpaceDN/>
              <w:bidi w:val="0"/>
              <w:adjustRightInd/>
              <w:snapToGrid/>
              <w:spacing w:beforeAutospacing="0" w:afterAutospacing="0" w:line="560" w:lineRule="exact"/>
              <w:ind w:left="0" w:right="0" w:firstLine="560" w:firstLineChars="200"/>
              <w:jc w:val="both"/>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2</w:t>
            </w:r>
            <w:r>
              <w:rPr>
                <w:rFonts w:hint="eastAsia" w:ascii="仿宋_GB2312" w:hAnsi="仿宋_GB2312" w:eastAsia="仿宋_GB2312" w:cs="仿宋_GB2312"/>
                <w:color w:val="auto"/>
                <w:spacing w:val="0"/>
                <w:sz w:val="28"/>
                <w:szCs w:val="28"/>
                <w:lang w:eastAsia="zh-CN"/>
              </w:rPr>
              <w:t>-</w:t>
            </w:r>
            <w:r>
              <w:rPr>
                <w:rFonts w:hint="eastAsia" w:ascii="仿宋_GB2312" w:hAnsi="仿宋_GB2312" w:eastAsia="仿宋_GB2312" w:cs="仿宋_GB2312"/>
                <w:color w:val="auto"/>
                <w:spacing w:val="0"/>
                <w:sz w:val="28"/>
                <w:szCs w:val="28"/>
                <w:lang w:val="en-US" w:eastAsia="zh-CN"/>
              </w:rPr>
              <w:t>3</w:t>
            </w:r>
            <w:r>
              <w:rPr>
                <w:rFonts w:hint="eastAsia" w:ascii="仿宋_GB2312" w:hAnsi="仿宋_GB2312" w:eastAsia="仿宋_GB2312" w:cs="仿宋_GB2312"/>
                <w:color w:val="auto"/>
                <w:spacing w:val="0"/>
                <w:sz w:val="28"/>
                <w:szCs w:val="28"/>
                <w:lang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862" w:type="dxa"/>
            <w:vAlign w:val="center"/>
          </w:tcPr>
          <w:p>
            <w:pPr>
              <w:keepNext w:val="0"/>
              <w:keepLines w:val="0"/>
              <w:pageBreakBefore w:val="0"/>
              <w:widowControl w:val="0"/>
              <w:kinsoku w:val="0"/>
              <w:wordWrap/>
              <w:overflowPunct w:val="0"/>
              <w:topLinePunct w:val="0"/>
              <w:autoSpaceDE w:val="0"/>
              <w:autoSpaceDN/>
              <w:bidi w:val="0"/>
              <w:adjustRightInd/>
              <w:snapToGrid/>
              <w:spacing w:beforeAutospacing="0" w:afterAutospacing="0" w:line="560" w:lineRule="exact"/>
              <w:ind w:right="0"/>
              <w:jc w:val="center"/>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21</w:t>
            </w:r>
          </w:p>
        </w:tc>
        <w:tc>
          <w:tcPr>
            <w:tcW w:w="5752" w:type="dxa"/>
            <w:vAlign w:val="center"/>
          </w:tcPr>
          <w:p>
            <w:pPr>
              <w:keepNext w:val="0"/>
              <w:keepLines w:val="0"/>
              <w:pageBreakBefore w:val="0"/>
              <w:widowControl w:val="0"/>
              <w:kinsoku w:val="0"/>
              <w:wordWrap/>
              <w:overflowPunct w:val="0"/>
              <w:topLinePunct w:val="0"/>
              <w:autoSpaceDE w:val="0"/>
              <w:autoSpaceDN/>
              <w:bidi w:val="0"/>
              <w:adjustRightInd/>
              <w:snapToGrid/>
              <w:spacing w:beforeAutospacing="0" w:afterAutospacing="0" w:line="560" w:lineRule="exact"/>
              <w:ind w:left="0" w:right="0" w:firstLine="560" w:firstLineChars="200"/>
              <w:jc w:val="center"/>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eastAsia="zh-CN"/>
              </w:rPr>
              <w:t>省级标准化试点</w:t>
            </w:r>
          </w:p>
        </w:tc>
        <w:tc>
          <w:tcPr>
            <w:tcW w:w="2317" w:type="dxa"/>
            <w:vAlign w:val="center"/>
          </w:tcPr>
          <w:p>
            <w:pPr>
              <w:keepNext w:val="0"/>
              <w:keepLines w:val="0"/>
              <w:pageBreakBefore w:val="0"/>
              <w:widowControl w:val="0"/>
              <w:kinsoku w:val="0"/>
              <w:wordWrap/>
              <w:overflowPunct w:val="0"/>
              <w:topLinePunct w:val="0"/>
              <w:autoSpaceDE w:val="0"/>
              <w:autoSpaceDN/>
              <w:bidi w:val="0"/>
              <w:adjustRightInd/>
              <w:snapToGrid/>
              <w:spacing w:beforeAutospacing="0" w:afterAutospacing="0" w:line="560" w:lineRule="exact"/>
              <w:ind w:left="0" w:right="0" w:firstLine="560" w:firstLineChars="200"/>
              <w:jc w:val="both"/>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eastAsia="zh-CN"/>
              </w:rPr>
              <w:t>5-6个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862" w:type="dxa"/>
            <w:vAlign w:val="center"/>
          </w:tcPr>
          <w:p>
            <w:pPr>
              <w:keepNext w:val="0"/>
              <w:keepLines w:val="0"/>
              <w:pageBreakBefore w:val="0"/>
              <w:widowControl w:val="0"/>
              <w:kinsoku w:val="0"/>
              <w:wordWrap/>
              <w:overflowPunct w:val="0"/>
              <w:topLinePunct w:val="0"/>
              <w:autoSpaceDE w:val="0"/>
              <w:autoSpaceDN/>
              <w:bidi w:val="0"/>
              <w:adjustRightInd/>
              <w:snapToGrid/>
              <w:spacing w:beforeAutospacing="0" w:afterAutospacing="0" w:line="560" w:lineRule="exact"/>
              <w:ind w:right="0"/>
              <w:jc w:val="center"/>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22</w:t>
            </w:r>
          </w:p>
        </w:tc>
        <w:tc>
          <w:tcPr>
            <w:tcW w:w="5752" w:type="dxa"/>
            <w:vAlign w:val="center"/>
          </w:tcPr>
          <w:p>
            <w:pPr>
              <w:keepNext w:val="0"/>
              <w:keepLines w:val="0"/>
              <w:pageBreakBefore w:val="0"/>
              <w:widowControl w:val="0"/>
              <w:kinsoku w:val="0"/>
              <w:wordWrap/>
              <w:overflowPunct w:val="0"/>
              <w:topLinePunct w:val="0"/>
              <w:autoSpaceDE w:val="0"/>
              <w:autoSpaceDN/>
              <w:bidi w:val="0"/>
              <w:adjustRightInd/>
              <w:snapToGrid/>
              <w:spacing w:beforeAutospacing="0" w:afterAutospacing="0" w:line="560" w:lineRule="exact"/>
              <w:ind w:left="0" w:right="0" w:firstLine="560" w:firstLineChars="200"/>
              <w:jc w:val="center"/>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新增</w:t>
            </w:r>
            <w:r>
              <w:rPr>
                <w:rFonts w:hint="eastAsia" w:ascii="仿宋_GB2312" w:hAnsi="仿宋_GB2312" w:eastAsia="仿宋_GB2312" w:cs="仿宋_GB2312"/>
                <w:color w:val="auto"/>
                <w:spacing w:val="0"/>
                <w:sz w:val="28"/>
                <w:szCs w:val="28"/>
                <w:lang w:eastAsia="zh-CN"/>
              </w:rPr>
              <w:t>社会公用计量标准数</w:t>
            </w:r>
          </w:p>
        </w:tc>
        <w:tc>
          <w:tcPr>
            <w:tcW w:w="2317" w:type="dxa"/>
            <w:vAlign w:val="center"/>
          </w:tcPr>
          <w:p>
            <w:pPr>
              <w:keepNext w:val="0"/>
              <w:keepLines w:val="0"/>
              <w:pageBreakBefore w:val="0"/>
              <w:widowControl w:val="0"/>
              <w:kinsoku w:val="0"/>
              <w:wordWrap/>
              <w:overflowPunct w:val="0"/>
              <w:topLinePunct w:val="0"/>
              <w:autoSpaceDE w:val="0"/>
              <w:autoSpaceDN/>
              <w:bidi w:val="0"/>
              <w:adjustRightInd/>
              <w:snapToGrid/>
              <w:spacing w:beforeAutospacing="0" w:afterAutospacing="0" w:line="560" w:lineRule="exact"/>
              <w:ind w:left="0" w:right="0" w:firstLine="560" w:firstLineChars="200"/>
              <w:jc w:val="both"/>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1</w:t>
            </w:r>
            <w:r>
              <w:rPr>
                <w:rFonts w:hint="eastAsia" w:ascii="仿宋_GB2312" w:hAnsi="仿宋_GB2312" w:eastAsia="仿宋_GB2312" w:cs="仿宋_GB2312"/>
                <w:color w:val="auto"/>
                <w:spacing w:val="0"/>
                <w:sz w:val="28"/>
                <w:szCs w:val="28"/>
                <w:lang w:eastAsia="zh-CN"/>
              </w:rPr>
              <w:t>0-</w:t>
            </w:r>
            <w:r>
              <w:rPr>
                <w:rFonts w:hint="eastAsia" w:ascii="仿宋_GB2312" w:hAnsi="仿宋_GB2312" w:eastAsia="仿宋_GB2312" w:cs="仿宋_GB2312"/>
                <w:color w:val="auto"/>
                <w:spacing w:val="0"/>
                <w:sz w:val="28"/>
                <w:szCs w:val="28"/>
                <w:lang w:val="en-US" w:eastAsia="zh-CN"/>
              </w:rPr>
              <w:t>2</w:t>
            </w:r>
            <w:r>
              <w:rPr>
                <w:rFonts w:hint="eastAsia" w:ascii="仿宋_GB2312" w:hAnsi="仿宋_GB2312" w:eastAsia="仿宋_GB2312" w:cs="仿宋_GB2312"/>
                <w:color w:val="auto"/>
                <w:spacing w:val="0"/>
                <w:sz w:val="28"/>
                <w:szCs w:val="28"/>
                <w:lang w:eastAsia="zh-CN"/>
              </w:rPr>
              <w:t>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862" w:type="dxa"/>
            <w:vAlign w:val="center"/>
          </w:tcPr>
          <w:p>
            <w:pPr>
              <w:keepNext w:val="0"/>
              <w:keepLines w:val="0"/>
              <w:pageBreakBefore w:val="0"/>
              <w:widowControl w:val="0"/>
              <w:kinsoku w:val="0"/>
              <w:wordWrap/>
              <w:overflowPunct w:val="0"/>
              <w:topLinePunct w:val="0"/>
              <w:autoSpaceDE w:val="0"/>
              <w:autoSpaceDN/>
              <w:bidi w:val="0"/>
              <w:adjustRightInd/>
              <w:snapToGrid/>
              <w:spacing w:beforeAutospacing="0" w:afterAutospacing="0" w:line="560" w:lineRule="exact"/>
              <w:ind w:right="0"/>
              <w:jc w:val="center"/>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23</w:t>
            </w:r>
          </w:p>
        </w:tc>
        <w:tc>
          <w:tcPr>
            <w:tcW w:w="5752" w:type="dxa"/>
            <w:vAlign w:val="center"/>
          </w:tcPr>
          <w:p>
            <w:pPr>
              <w:keepNext w:val="0"/>
              <w:keepLines w:val="0"/>
              <w:pageBreakBefore w:val="0"/>
              <w:widowControl w:val="0"/>
              <w:kinsoku w:val="0"/>
              <w:wordWrap/>
              <w:overflowPunct w:val="0"/>
              <w:topLinePunct w:val="0"/>
              <w:autoSpaceDE w:val="0"/>
              <w:autoSpaceDN/>
              <w:bidi w:val="0"/>
              <w:adjustRightInd/>
              <w:snapToGrid/>
              <w:spacing w:beforeAutospacing="0" w:afterAutospacing="0" w:line="560" w:lineRule="exact"/>
              <w:ind w:left="0" w:right="0" w:firstLine="560" w:firstLineChars="200"/>
              <w:jc w:val="center"/>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新增</w:t>
            </w:r>
            <w:r>
              <w:rPr>
                <w:rFonts w:hint="eastAsia" w:ascii="仿宋_GB2312" w:hAnsi="仿宋_GB2312" w:eastAsia="仿宋_GB2312" w:cs="仿宋_GB2312"/>
                <w:color w:val="auto"/>
                <w:spacing w:val="0"/>
                <w:sz w:val="28"/>
                <w:szCs w:val="28"/>
                <w:lang w:eastAsia="zh-CN"/>
              </w:rPr>
              <w:t>注册在本</w:t>
            </w:r>
            <w:r>
              <w:rPr>
                <w:rFonts w:hint="eastAsia" w:ascii="仿宋_GB2312" w:hAnsi="仿宋_GB2312" w:eastAsia="仿宋_GB2312" w:cs="仿宋_GB2312"/>
                <w:color w:val="auto"/>
                <w:spacing w:val="0"/>
                <w:sz w:val="28"/>
                <w:szCs w:val="28"/>
                <w:lang w:val="en-US" w:eastAsia="zh-CN"/>
              </w:rPr>
              <w:t>地</w:t>
            </w:r>
            <w:r>
              <w:rPr>
                <w:rFonts w:hint="eastAsia" w:ascii="仿宋_GB2312" w:hAnsi="仿宋_GB2312" w:eastAsia="仿宋_GB2312" w:cs="仿宋_GB2312"/>
                <w:color w:val="auto"/>
                <w:spacing w:val="0"/>
                <w:sz w:val="28"/>
                <w:szCs w:val="28"/>
                <w:lang w:eastAsia="zh-CN"/>
              </w:rPr>
              <w:t>的检验检测机构数量</w:t>
            </w:r>
          </w:p>
        </w:tc>
        <w:tc>
          <w:tcPr>
            <w:tcW w:w="2317" w:type="dxa"/>
            <w:vAlign w:val="center"/>
          </w:tcPr>
          <w:p>
            <w:pPr>
              <w:keepNext w:val="0"/>
              <w:keepLines w:val="0"/>
              <w:pageBreakBefore w:val="0"/>
              <w:widowControl w:val="0"/>
              <w:kinsoku w:val="0"/>
              <w:wordWrap/>
              <w:overflowPunct w:val="0"/>
              <w:topLinePunct w:val="0"/>
              <w:autoSpaceDE w:val="0"/>
              <w:autoSpaceDN/>
              <w:bidi w:val="0"/>
              <w:adjustRightInd/>
              <w:snapToGrid/>
              <w:spacing w:beforeAutospacing="0" w:afterAutospacing="0" w:line="560" w:lineRule="exact"/>
              <w:ind w:left="0" w:right="0" w:firstLine="560" w:firstLineChars="200"/>
              <w:jc w:val="both"/>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eastAsia="zh-CN"/>
              </w:rPr>
              <w:t>1-2家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862" w:type="dxa"/>
            <w:vAlign w:val="center"/>
          </w:tcPr>
          <w:p>
            <w:pPr>
              <w:keepNext w:val="0"/>
              <w:keepLines w:val="0"/>
              <w:pageBreakBefore w:val="0"/>
              <w:widowControl w:val="0"/>
              <w:kinsoku w:val="0"/>
              <w:wordWrap/>
              <w:overflowPunct w:val="0"/>
              <w:topLinePunct w:val="0"/>
              <w:autoSpaceDE w:val="0"/>
              <w:autoSpaceDN/>
              <w:bidi w:val="0"/>
              <w:adjustRightInd/>
              <w:snapToGrid/>
              <w:spacing w:beforeAutospacing="0" w:afterAutospacing="0" w:line="560" w:lineRule="exact"/>
              <w:ind w:right="0"/>
              <w:jc w:val="center"/>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24</w:t>
            </w:r>
          </w:p>
        </w:tc>
        <w:tc>
          <w:tcPr>
            <w:tcW w:w="5752" w:type="dxa"/>
            <w:vAlign w:val="center"/>
          </w:tcPr>
          <w:p>
            <w:pPr>
              <w:keepNext w:val="0"/>
              <w:keepLines w:val="0"/>
              <w:pageBreakBefore w:val="0"/>
              <w:widowControl w:val="0"/>
              <w:kinsoku w:val="0"/>
              <w:wordWrap/>
              <w:overflowPunct w:val="0"/>
              <w:topLinePunct w:val="0"/>
              <w:autoSpaceDE w:val="0"/>
              <w:autoSpaceDN/>
              <w:bidi w:val="0"/>
              <w:adjustRightInd/>
              <w:snapToGrid/>
              <w:spacing w:beforeAutospacing="0" w:afterAutospacing="0" w:line="560" w:lineRule="exact"/>
              <w:ind w:left="0" w:right="0" w:firstLine="560" w:firstLineChars="200"/>
              <w:jc w:val="center"/>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eastAsia="zh-CN"/>
              </w:rPr>
              <w:t>认证管理体系培训人数</w:t>
            </w:r>
          </w:p>
        </w:tc>
        <w:tc>
          <w:tcPr>
            <w:tcW w:w="2317" w:type="dxa"/>
            <w:vAlign w:val="center"/>
          </w:tcPr>
          <w:p>
            <w:pPr>
              <w:keepNext w:val="0"/>
              <w:keepLines w:val="0"/>
              <w:pageBreakBefore w:val="0"/>
              <w:widowControl w:val="0"/>
              <w:kinsoku w:val="0"/>
              <w:wordWrap/>
              <w:overflowPunct w:val="0"/>
              <w:topLinePunct w:val="0"/>
              <w:autoSpaceDE w:val="0"/>
              <w:autoSpaceDN/>
              <w:bidi w:val="0"/>
              <w:adjustRightInd/>
              <w:snapToGrid/>
              <w:spacing w:beforeAutospacing="0" w:afterAutospacing="0" w:line="560" w:lineRule="exact"/>
              <w:ind w:left="0" w:right="0" w:firstLine="560" w:firstLineChars="200"/>
              <w:jc w:val="both"/>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eastAsia="zh-CN"/>
              </w:rPr>
              <w:t>1</w:t>
            </w:r>
            <w:r>
              <w:rPr>
                <w:rFonts w:hint="eastAsia" w:ascii="仿宋_GB2312" w:hAnsi="仿宋_GB2312" w:eastAsia="仿宋_GB2312" w:cs="仿宋_GB2312"/>
                <w:color w:val="auto"/>
                <w:spacing w:val="0"/>
                <w:sz w:val="28"/>
                <w:szCs w:val="28"/>
                <w:lang w:val="en-US" w:eastAsia="zh-CN"/>
              </w:rPr>
              <w:t>2</w:t>
            </w:r>
            <w:r>
              <w:rPr>
                <w:rFonts w:hint="eastAsia" w:ascii="仿宋_GB2312" w:hAnsi="仿宋_GB2312" w:eastAsia="仿宋_GB2312" w:cs="仿宋_GB2312"/>
                <w:color w:val="auto"/>
                <w:spacing w:val="0"/>
                <w:sz w:val="28"/>
                <w:szCs w:val="28"/>
                <w:lang w:eastAsia="zh-CN"/>
              </w:rPr>
              <w:t>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 w:hRule="atLeast"/>
        </w:trPr>
        <w:tc>
          <w:tcPr>
            <w:tcW w:w="862" w:type="dxa"/>
            <w:vAlign w:val="center"/>
          </w:tcPr>
          <w:p>
            <w:pPr>
              <w:keepNext w:val="0"/>
              <w:keepLines w:val="0"/>
              <w:pageBreakBefore w:val="0"/>
              <w:widowControl w:val="0"/>
              <w:kinsoku w:val="0"/>
              <w:wordWrap/>
              <w:overflowPunct w:val="0"/>
              <w:topLinePunct w:val="0"/>
              <w:autoSpaceDE w:val="0"/>
              <w:autoSpaceDN/>
              <w:bidi w:val="0"/>
              <w:adjustRightInd/>
              <w:snapToGrid/>
              <w:spacing w:beforeAutospacing="0" w:afterAutospacing="0" w:line="560" w:lineRule="exact"/>
              <w:ind w:right="0"/>
              <w:jc w:val="center"/>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25</w:t>
            </w:r>
          </w:p>
        </w:tc>
        <w:tc>
          <w:tcPr>
            <w:tcW w:w="5752" w:type="dxa"/>
            <w:vAlign w:val="center"/>
          </w:tcPr>
          <w:p>
            <w:pPr>
              <w:keepNext w:val="0"/>
              <w:keepLines w:val="0"/>
              <w:pageBreakBefore w:val="0"/>
              <w:widowControl w:val="0"/>
              <w:kinsoku w:val="0"/>
              <w:wordWrap/>
              <w:overflowPunct w:val="0"/>
              <w:topLinePunct w:val="0"/>
              <w:autoSpaceDE w:val="0"/>
              <w:autoSpaceDN/>
              <w:bidi w:val="0"/>
              <w:adjustRightInd/>
              <w:snapToGrid/>
              <w:spacing w:beforeAutospacing="0" w:afterAutospacing="0" w:line="560" w:lineRule="exact"/>
              <w:ind w:left="0" w:right="0" w:firstLine="560" w:firstLineChars="200"/>
              <w:jc w:val="center"/>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新增</w:t>
            </w:r>
            <w:r>
              <w:rPr>
                <w:rFonts w:hint="eastAsia" w:ascii="仿宋_GB2312" w:hAnsi="仿宋_GB2312" w:eastAsia="仿宋_GB2312" w:cs="仿宋_GB2312"/>
                <w:color w:val="auto"/>
                <w:spacing w:val="0"/>
                <w:sz w:val="28"/>
                <w:szCs w:val="28"/>
                <w:lang w:eastAsia="zh-CN"/>
              </w:rPr>
              <w:t>认证证书总数达到</w:t>
            </w:r>
          </w:p>
        </w:tc>
        <w:tc>
          <w:tcPr>
            <w:tcW w:w="2317" w:type="dxa"/>
            <w:vAlign w:val="center"/>
          </w:tcPr>
          <w:p>
            <w:pPr>
              <w:keepNext w:val="0"/>
              <w:keepLines w:val="0"/>
              <w:pageBreakBefore w:val="0"/>
              <w:widowControl w:val="0"/>
              <w:kinsoku w:val="0"/>
              <w:wordWrap/>
              <w:overflowPunct w:val="0"/>
              <w:topLinePunct w:val="0"/>
              <w:autoSpaceDE w:val="0"/>
              <w:autoSpaceDN/>
              <w:bidi w:val="0"/>
              <w:adjustRightInd/>
              <w:snapToGrid/>
              <w:spacing w:beforeAutospacing="0" w:afterAutospacing="0" w:line="560" w:lineRule="exact"/>
              <w:ind w:left="0" w:right="0" w:firstLine="560" w:firstLineChars="200"/>
              <w:jc w:val="both"/>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60-10</w:t>
            </w:r>
            <w:r>
              <w:rPr>
                <w:rFonts w:hint="eastAsia" w:ascii="仿宋_GB2312" w:hAnsi="仿宋_GB2312" w:eastAsia="仿宋_GB2312" w:cs="仿宋_GB2312"/>
                <w:color w:val="auto"/>
                <w:spacing w:val="0"/>
                <w:sz w:val="28"/>
                <w:szCs w:val="28"/>
                <w:lang w:eastAsia="zh-CN"/>
              </w:rPr>
              <w:t>0张</w:t>
            </w:r>
          </w:p>
        </w:tc>
      </w:tr>
    </w:tbl>
    <w:p>
      <w:pPr>
        <w:keepNext w:val="0"/>
        <w:keepLines w:val="0"/>
        <w:pageBreakBefore w:val="0"/>
        <w:widowControl w:val="0"/>
        <w:kinsoku/>
        <w:wordWrap/>
        <w:overflowPunct/>
        <w:topLinePunct/>
        <w:autoSpaceDE/>
        <w:autoSpaceDN/>
        <w:bidi w:val="0"/>
        <w:adjustRightInd w:val="0"/>
        <w:snapToGrid w:val="0"/>
        <w:spacing w:beforeAutospacing="0" w:afterAutospacing="0" w:line="560" w:lineRule="exact"/>
        <w:ind w:left="0" w:right="0" w:firstLine="640" w:firstLineChars="200"/>
        <w:jc w:val="both"/>
        <w:textAlignment w:val="auto"/>
        <w:outlineLvl w:val="9"/>
        <w:rPr>
          <w:rFonts w:hint="eastAsia" w:ascii="黑体" w:hAnsi="黑体" w:eastAsia="黑体" w:cs="黑体"/>
          <w:b w:val="0"/>
          <w:bCs w:val="0"/>
          <w:color w:val="auto"/>
          <w:spacing w:val="0"/>
          <w:sz w:val="32"/>
          <w:szCs w:val="32"/>
          <w:lang w:eastAsia="zh-CN"/>
        </w:rPr>
      </w:pPr>
      <w:bookmarkStart w:id="32" w:name="_Toc1004224948_WPSOffice_Level1"/>
      <w:r>
        <w:rPr>
          <w:rFonts w:hint="eastAsia" w:ascii="黑体" w:hAnsi="黑体" w:eastAsia="黑体" w:cs="黑体"/>
          <w:b w:val="0"/>
          <w:bCs w:val="0"/>
          <w:color w:val="auto"/>
          <w:spacing w:val="0"/>
          <w:sz w:val="32"/>
          <w:szCs w:val="32"/>
          <w:lang w:eastAsia="zh-CN"/>
        </w:rPr>
        <w:t>四、重点工作任务和推进措施</w:t>
      </w:r>
      <w:bookmarkEnd w:id="31"/>
      <w:bookmarkEnd w:id="32"/>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autoSpaceDE/>
        <w:autoSpaceDN/>
        <w:bidi w:val="0"/>
        <w:adjustRightInd/>
        <w:snapToGrid/>
        <w:spacing w:beforeAutospacing="0" w:afterAutospacing="0" w:line="560" w:lineRule="exact"/>
        <w:ind w:left="0" w:right="0" w:firstLine="640" w:firstLineChars="200"/>
        <w:jc w:val="both"/>
        <w:textAlignment w:val="auto"/>
        <w:outlineLvl w:val="9"/>
        <w:rPr>
          <w:rFonts w:hint="eastAsia" w:ascii="楷体_GB2312" w:hAnsi="楷体_GB2312" w:eastAsia="楷体_GB2312" w:cs="楷体_GB2312"/>
          <w:b w:val="0"/>
          <w:bCs w:val="0"/>
          <w:color w:val="auto"/>
          <w:spacing w:val="0"/>
          <w:sz w:val="32"/>
          <w:szCs w:val="32"/>
        </w:rPr>
      </w:pPr>
      <w:bookmarkStart w:id="33" w:name="_Toc770633923_WPSOffice_Level2"/>
      <w:r>
        <w:rPr>
          <w:rFonts w:hint="eastAsia" w:ascii="楷体_GB2312" w:hAnsi="楷体_GB2312" w:eastAsia="楷体_GB2312" w:cs="楷体_GB2312"/>
          <w:b w:val="0"/>
          <w:bCs w:val="0"/>
          <w:color w:val="auto"/>
          <w:spacing w:val="0"/>
          <w:sz w:val="32"/>
          <w:szCs w:val="32"/>
        </w:rPr>
        <w:t>（一）建立四大机制，保障质量强</w:t>
      </w:r>
      <w:r>
        <w:rPr>
          <w:rFonts w:hint="eastAsia" w:ascii="楷体_GB2312" w:hAnsi="楷体_GB2312" w:eastAsia="楷体_GB2312" w:cs="楷体_GB2312"/>
          <w:b w:val="0"/>
          <w:bCs w:val="0"/>
          <w:color w:val="auto"/>
          <w:spacing w:val="0"/>
          <w:sz w:val="32"/>
          <w:szCs w:val="32"/>
          <w:lang w:eastAsia="zh-CN"/>
        </w:rPr>
        <w:t>县</w:t>
      </w:r>
      <w:r>
        <w:rPr>
          <w:rFonts w:hint="eastAsia" w:ascii="楷体_GB2312" w:hAnsi="楷体_GB2312" w:eastAsia="楷体_GB2312" w:cs="楷体_GB2312"/>
          <w:b w:val="0"/>
          <w:bCs w:val="0"/>
          <w:color w:val="auto"/>
          <w:spacing w:val="0"/>
          <w:sz w:val="32"/>
          <w:szCs w:val="32"/>
        </w:rPr>
        <w:t>稳健运行</w:t>
      </w:r>
      <w:bookmarkEnd w:id="33"/>
    </w:p>
    <w:p>
      <w:pPr>
        <w:keepNext w:val="0"/>
        <w:keepLines w:val="0"/>
        <w:pageBreakBefore w:val="0"/>
        <w:widowControl w:val="0"/>
        <w:numPr>
          <w:ilvl w:val="0"/>
          <w:numId w:val="0"/>
        </w:numPr>
        <w:kinsoku/>
        <w:wordWrap/>
        <w:overflowPunct/>
        <w:topLinePunct/>
        <w:autoSpaceDE/>
        <w:autoSpaceDN/>
        <w:bidi w:val="0"/>
        <w:adjustRightInd w:val="0"/>
        <w:snapToGrid w:val="0"/>
        <w:spacing w:beforeAutospacing="0" w:afterAutospacing="0" w:line="560" w:lineRule="exact"/>
        <w:ind w:left="0" w:right="0" w:firstLine="640" w:firstLineChars="200"/>
        <w:jc w:val="both"/>
        <w:textAlignment w:val="auto"/>
        <w:outlineLvl w:val="9"/>
        <w:rPr>
          <w:rFonts w:hint="eastAsia" w:ascii="仿宋_GB2312" w:hAnsi="仿宋_GB2312" w:eastAsia="仿宋_GB2312" w:cs="仿宋_GB2312"/>
          <w:color w:val="auto"/>
          <w:spacing w:val="0"/>
          <w:sz w:val="32"/>
          <w:szCs w:val="32"/>
          <w:highlight w:val="none"/>
        </w:rPr>
      </w:pPr>
      <w:bookmarkStart w:id="34" w:name="_Toc676198418_WPSOffice_Level3"/>
      <w:r>
        <w:rPr>
          <w:rFonts w:hint="eastAsia" w:ascii="仿宋_GB2312" w:hAnsi="仿宋_GB2312" w:eastAsia="仿宋_GB2312" w:cs="仿宋_GB2312"/>
          <w:color w:val="auto"/>
          <w:spacing w:val="0"/>
          <w:sz w:val="32"/>
          <w:szCs w:val="32"/>
          <w:highlight w:val="none"/>
          <w:lang w:val="en-US" w:eastAsia="zh-CN"/>
        </w:rPr>
        <w:t>1.</w:t>
      </w:r>
      <w:r>
        <w:rPr>
          <w:rFonts w:hint="eastAsia" w:ascii="仿宋_GB2312" w:hAnsi="仿宋_GB2312" w:eastAsia="仿宋_GB2312" w:cs="仿宋_GB2312"/>
          <w:color w:val="auto"/>
          <w:spacing w:val="0"/>
          <w:sz w:val="32"/>
          <w:szCs w:val="32"/>
          <w:highlight w:val="none"/>
        </w:rPr>
        <w:t>完善“大质量”工作机制</w:t>
      </w:r>
      <w:bookmarkEnd w:id="34"/>
    </w:p>
    <w:p>
      <w:pPr>
        <w:keepNext w:val="0"/>
        <w:keepLines w:val="0"/>
        <w:pageBreakBefore w:val="0"/>
        <w:widowControl w:val="0"/>
        <w:numPr>
          <w:ilvl w:val="0"/>
          <w:numId w:val="0"/>
        </w:numPr>
        <w:kinsoku/>
        <w:wordWrap/>
        <w:overflowPunct/>
        <w:topLinePunct/>
        <w:autoSpaceDE/>
        <w:autoSpaceDN/>
        <w:bidi w:val="0"/>
        <w:adjustRightInd w:val="0"/>
        <w:snapToGrid w:val="0"/>
        <w:spacing w:beforeAutospacing="0" w:afterAutospacing="0" w:line="560" w:lineRule="exact"/>
        <w:ind w:left="0" w:right="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highlight w:val="none"/>
        </w:rPr>
        <w:t>大力实施质量强</w:t>
      </w:r>
      <w:r>
        <w:rPr>
          <w:rFonts w:hint="eastAsia" w:ascii="仿宋_GB2312" w:hAnsi="仿宋_GB2312" w:eastAsia="仿宋_GB2312" w:cs="仿宋_GB2312"/>
          <w:color w:val="auto"/>
          <w:spacing w:val="0"/>
          <w:sz w:val="32"/>
          <w:szCs w:val="32"/>
          <w:highlight w:val="none"/>
          <w:lang w:eastAsia="zh-CN"/>
        </w:rPr>
        <w:t>县</w:t>
      </w:r>
      <w:r>
        <w:rPr>
          <w:rFonts w:hint="eastAsia" w:ascii="仿宋_GB2312" w:hAnsi="仿宋_GB2312" w:eastAsia="仿宋_GB2312" w:cs="仿宋_GB2312"/>
          <w:color w:val="auto"/>
          <w:spacing w:val="0"/>
          <w:sz w:val="32"/>
          <w:szCs w:val="32"/>
          <w:highlight w:val="none"/>
        </w:rPr>
        <w:t>、标准化引领和品牌带动战略。将质量工作放在经济社会发展的重要位置来谋划，作为提升市民生活品质的第一要务来落实</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b/>
          <w:bCs/>
          <w:color w:val="auto"/>
          <w:spacing w:val="0"/>
          <w:sz w:val="32"/>
          <w:szCs w:val="32"/>
          <w:highlight w:val="none"/>
        </w:rPr>
        <w:t>一是</w:t>
      </w:r>
      <w:r>
        <w:rPr>
          <w:rFonts w:hint="eastAsia" w:ascii="仿宋_GB2312" w:hAnsi="仿宋_GB2312" w:eastAsia="仿宋_GB2312" w:cs="仿宋_GB2312"/>
          <w:color w:val="auto"/>
          <w:spacing w:val="0"/>
          <w:sz w:val="32"/>
          <w:szCs w:val="32"/>
        </w:rPr>
        <w:t>强化大质量责任体制建立。</w:t>
      </w:r>
      <w:r>
        <w:rPr>
          <w:rFonts w:hint="eastAsia" w:ascii="仿宋_GB2312" w:hAnsi="仿宋_GB2312" w:eastAsia="仿宋_GB2312" w:cs="仿宋_GB2312"/>
          <w:color w:val="auto"/>
          <w:spacing w:val="0"/>
          <w:sz w:val="32"/>
          <w:szCs w:val="32"/>
          <w:highlight w:val="none"/>
        </w:rPr>
        <w:t>以创建河南省质量强县示范县为抓手，加强部门联动，强化会商研究，注</w:t>
      </w:r>
      <w:r>
        <w:rPr>
          <w:rFonts w:hint="eastAsia" w:ascii="仿宋_GB2312" w:hAnsi="仿宋_GB2312" w:eastAsia="仿宋_GB2312" w:cs="仿宋_GB2312"/>
          <w:color w:val="auto"/>
          <w:spacing w:val="0"/>
          <w:sz w:val="32"/>
          <w:szCs w:val="32"/>
        </w:rPr>
        <w:t>重总结提升。建立党委领导、政府负责、部门监管、企业主责、社会共治的“大质量”格局。建立健全质量引领、市场化改革、生态文明、文化建设、城市规划、社会治理和公共安全保障等领域联动机制，并进一步细化形成制度、标准和规范加以保障落实，完善符合社会主义现代化市场经济发展要求，具有</w:t>
      </w:r>
      <w:r>
        <w:rPr>
          <w:rFonts w:hint="eastAsia" w:ascii="仿宋_GB2312" w:hAnsi="仿宋_GB2312" w:eastAsia="仿宋_GB2312" w:cs="仿宋_GB2312"/>
          <w:color w:val="auto"/>
          <w:spacing w:val="0"/>
          <w:sz w:val="32"/>
          <w:szCs w:val="32"/>
          <w:lang w:eastAsia="zh-CN"/>
        </w:rPr>
        <w:t>延津县城市</w:t>
      </w:r>
      <w:r>
        <w:rPr>
          <w:rFonts w:hint="eastAsia" w:ascii="仿宋_GB2312" w:hAnsi="仿宋_GB2312" w:eastAsia="仿宋_GB2312" w:cs="仿宋_GB2312"/>
          <w:color w:val="auto"/>
          <w:spacing w:val="0"/>
          <w:sz w:val="32"/>
          <w:szCs w:val="32"/>
        </w:rPr>
        <w:t>特点和产业特色的质量管理体制。</w:t>
      </w:r>
      <w:r>
        <w:rPr>
          <w:rFonts w:hint="eastAsia" w:ascii="仿宋_GB2312" w:hAnsi="仿宋_GB2312" w:eastAsia="仿宋_GB2312" w:cs="仿宋_GB2312"/>
          <w:b/>
          <w:bCs/>
          <w:color w:val="auto"/>
          <w:spacing w:val="0"/>
          <w:sz w:val="32"/>
          <w:szCs w:val="32"/>
          <w:highlight w:val="none"/>
        </w:rPr>
        <w:t>二是</w:t>
      </w:r>
      <w:r>
        <w:rPr>
          <w:rFonts w:hint="eastAsia" w:ascii="仿宋_GB2312" w:hAnsi="仿宋_GB2312" w:eastAsia="仿宋_GB2312" w:cs="仿宋_GB2312"/>
          <w:color w:val="auto"/>
          <w:spacing w:val="0"/>
          <w:sz w:val="32"/>
          <w:szCs w:val="32"/>
        </w:rPr>
        <w:t>强化企业质量主体责任意识。引导企业实施“质量强企”战略，强化全员质量管理，通过推进建立首席质量官制度、推行先进质量管理模式、卓越绩效孵化基地建设，定期分析座谈交流及质量安全约谈制度，开展诚信宣传、质量提升、加大执法力度等多项措施，推进部门监管和企业自律相结合，将发挥企业质量责任主体作用和市场配置资源的决定性作用放在突出位置。</w:t>
      </w:r>
      <w:r>
        <w:rPr>
          <w:rFonts w:hint="eastAsia" w:ascii="仿宋_GB2312" w:hAnsi="仿宋_GB2312" w:eastAsia="仿宋_GB2312" w:cs="仿宋_GB2312"/>
          <w:b/>
          <w:bCs/>
          <w:color w:val="auto"/>
          <w:spacing w:val="0"/>
          <w:sz w:val="32"/>
          <w:szCs w:val="32"/>
          <w:highlight w:val="none"/>
        </w:rPr>
        <w:t>三是</w:t>
      </w:r>
      <w:r>
        <w:rPr>
          <w:rFonts w:hint="eastAsia" w:ascii="仿宋_GB2312" w:hAnsi="仿宋_GB2312" w:eastAsia="仿宋_GB2312" w:cs="仿宋_GB2312"/>
          <w:color w:val="auto"/>
          <w:spacing w:val="0"/>
          <w:sz w:val="32"/>
          <w:szCs w:val="32"/>
        </w:rPr>
        <w:t>强化大质量共治格局。进一步明确企业、社会中介组织、政府部门各自的质量责任，充分运用经济、法律、行政等手段维护质量安全，深入开展质量强县示范县创建活动，建立大质量社会共治格局，推进质量强市建设和发展。</w:t>
      </w:r>
    </w:p>
    <w:p>
      <w:pPr>
        <w:keepNext w:val="0"/>
        <w:keepLines w:val="0"/>
        <w:pageBreakBefore w:val="0"/>
        <w:widowControl w:val="0"/>
        <w:kinsoku/>
        <w:wordWrap/>
        <w:overflowPunct/>
        <w:topLinePunct/>
        <w:autoSpaceDE/>
        <w:autoSpaceDN/>
        <w:bidi w:val="0"/>
        <w:adjustRightInd w:val="0"/>
        <w:snapToGrid w:val="0"/>
        <w:spacing w:beforeAutospacing="0" w:afterAutospacing="0" w:line="560" w:lineRule="exact"/>
        <w:ind w:left="0" w:right="0" w:firstLine="640" w:firstLineChars="200"/>
        <w:jc w:val="both"/>
        <w:textAlignment w:val="auto"/>
        <w:outlineLvl w:val="9"/>
        <w:rPr>
          <w:rFonts w:hint="eastAsia" w:ascii="仿宋_GB2312" w:hAnsi="仿宋_GB2312" w:eastAsia="仿宋_GB2312" w:cs="仿宋_GB2312"/>
          <w:color w:val="auto"/>
          <w:spacing w:val="0"/>
          <w:sz w:val="32"/>
          <w:szCs w:val="32"/>
        </w:rPr>
      </w:pPr>
      <w:bookmarkStart w:id="35" w:name="_Toc202286846_WPSOffice_Level3"/>
      <w:r>
        <w:rPr>
          <w:rFonts w:hint="eastAsia" w:ascii="仿宋_GB2312" w:hAnsi="仿宋_GB2312" w:eastAsia="仿宋_GB2312" w:cs="仿宋_GB2312"/>
          <w:color w:val="auto"/>
          <w:spacing w:val="0"/>
          <w:sz w:val="32"/>
          <w:szCs w:val="32"/>
        </w:rPr>
        <w:t>2.建立现代化“大监管”机制</w:t>
      </w:r>
      <w:bookmarkEnd w:id="35"/>
    </w:p>
    <w:p>
      <w:pPr>
        <w:keepNext w:val="0"/>
        <w:keepLines w:val="0"/>
        <w:pageBreakBefore w:val="0"/>
        <w:widowControl w:val="0"/>
        <w:kinsoku/>
        <w:wordWrap/>
        <w:overflowPunct/>
        <w:topLinePunct/>
        <w:autoSpaceDE/>
        <w:autoSpaceDN/>
        <w:bidi w:val="0"/>
        <w:adjustRightInd w:val="0"/>
        <w:snapToGrid w:val="0"/>
        <w:spacing w:beforeAutospacing="0" w:afterAutospacing="0" w:line="560" w:lineRule="exact"/>
        <w:ind w:left="0" w:right="0" w:firstLine="642"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bCs/>
          <w:color w:val="auto"/>
          <w:spacing w:val="0"/>
          <w:sz w:val="32"/>
          <w:szCs w:val="32"/>
        </w:rPr>
        <w:t>一是</w:t>
      </w:r>
      <w:r>
        <w:rPr>
          <w:rFonts w:hint="eastAsia" w:ascii="仿宋_GB2312" w:hAnsi="仿宋_GB2312" w:eastAsia="仿宋_GB2312" w:cs="仿宋_GB2312"/>
          <w:color w:val="auto"/>
          <w:spacing w:val="0"/>
          <w:sz w:val="32"/>
          <w:szCs w:val="32"/>
        </w:rPr>
        <w:t>积极转变监管理念、方式方法，持续深化“放管服”制度改革及商事制度改革，不断创新监管理念，探索行政审批与监管有效衔接机制；紧紧围绕人民群众健康、生命和财产安全，统筹布局强化对产品、 服务和工程质量的监管，按照属地管辖原则，构建行政执法队伍快速反应机制，严厉打击扰乱市场秩序违法行为，依法维护和保护消费者的合法权益。</w:t>
      </w:r>
      <w:r>
        <w:rPr>
          <w:rFonts w:hint="eastAsia" w:ascii="仿宋_GB2312" w:hAnsi="仿宋_GB2312" w:eastAsia="仿宋_GB2312" w:cs="仿宋_GB2312"/>
          <w:b/>
          <w:bCs/>
          <w:color w:val="auto"/>
          <w:spacing w:val="0"/>
          <w:sz w:val="32"/>
          <w:szCs w:val="32"/>
        </w:rPr>
        <w:t>二是</w:t>
      </w:r>
      <w:r>
        <w:rPr>
          <w:rFonts w:hint="eastAsia" w:ascii="仿宋_GB2312" w:hAnsi="仿宋_GB2312" w:eastAsia="仿宋_GB2312" w:cs="仿宋_GB2312"/>
          <w:color w:val="auto"/>
          <w:spacing w:val="0"/>
          <w:sz w:val="32"/>
          <w:szCs w:val="32"/>
        </w:rPr>
        <w:t>通过加快质量法治建设、强化质量安全监管、推进质量诚信体系建设、依法严厉打击质量违法行为，进一步为企业升级发展提供了优良的质量发展环境。</w:t>
      </w:r>
      <w:r>
        <w:rPr>
          <w:rFonts w:hint="eastAsia" w:ascii="仿宋_GB2312" w:hAnsi="仿宋_GB2312" w:eastAsia="仿宋_GB2312" w:cs="仿宋_GB2312"/>
          <w:b/>
          <w:bCs/>
          <w:color w:val="auto"/>
          <w:spacing w:val="0"/>
          <w:sz w:val="32"/>
          <w:szCs w:val="32"/>
        </w:rPr>
        <w:t>三是</w:t>
      </w:r>
      <w:r>
        <w:rPr>
          <w:rFonts w:hint="eastAsia" w:ascii="仿宋_GB2312" w:hAnsi="仿宋_GB2312" w:eastAsia="仿宋_GB2312" w:cs="仿宋_GB2312"/>
          <w:color w:val="auto"/>
          <w:spacing w:val="0"/>
          <w:sz w:val="32"/>
          <w:szCs w:val="32"/>
        </w:rPr>
        <w:t>建立信用监管、大数据监管、综合监管、协同监管、审慎监管、包容监管、分类监管 、信息公开监管、标准公开监管以及多元共治等新型监管的方法和工具，不断适应现代市场经济发展的要求，从而有效和高效实施监管。</w:t>
      </w:r>
      <w:r>
        <w:rPr>
          <w:rFonts w:hint="eastAsia" w:ascii="仿宋_GB2312" w:hAnsi="仿宋_GB2312" w:eastAsia="仿宋_GB2312" w:cs="仿宋_GB2312"/>
          <w:b/>
          <w:bCs/>
          <w:color w:val="auto"/>
          <w:spacing w:val="0"/>
          <w:sz w:val="32"/>
          <w:szCs w:val="32"/>
        </w:rPr>
        <w:t>四是</w:t>
      </w:r>
      <w:r>
        <w:rPr>
          <w:rFonts w:hint="eastAsia" w:ascii="仿宋_GB2312" w:hAnsi="仿宋_GB2312" w:eastAsia="仿宋_GB2312" w:cs="仿宋_GB2312"/>
          <w:color w:val="auto"/>
          <w:spacing w:val="0"/>
          <w:sz w:val="32"/>
          <w:szCs w:val="32"/>
        </w:rPr>
        <w:t>努力实现“监管程序规范化、监管证据视频化、监管结果数据化、全程监管智慧化”的现代化监管模式。</w:t>
      </w:r>
      <w:r>
        <w:rPr>
          <w:rFonts w:hint="eastAsia" w:ascii="仿宋_GB2312" w:hAnsi="仿宋_GB2312" w:eastAsia="仿宋_GB2312" w:cs="仿宋_GB2312"/>
          <w:b/>
          <w:bCs/>
          <w:color w:val="auto"/>
          <w:spacing w:val="0"/>
          <w:sz w:val="32"/>
          <w:szCs w:val="32"/>
        </w:rPr>
        <w:t>五是</w:t>
      </w:r>
      <w:r>
        <w:rPr>
          <w:rFonts w:hint="eastAsia" w:ascii="仿宋_GB2312" w:hAnsi="仿宋_GB2312" w:eastAsia="仿宋_GB2312" w:cs="仿宋_GB2312"/>
          <w:color w:val="auto"/>
          <w:spacing w:val="0"/>
          <w:sz w:val="32"/>
          <w:szCs w:val="32"/>
        </w:rPr>
        <w:t>加强质量安全监管，严格落实企业质量安全主体责任，建立健全覆盖全社会的质量守信激励和失信惩戒机制。完善消费者投诉处理机制</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落实消费维权信息机制和投诉公示制度，激发消费主动维权意识。</w:t>
      </w:r>
    </w:p>
    <w:p>
      <w:pPr>
        <w:keepNext w:val="0"/>
        <w:keepLines w:val="0"/>
        <w:pageBreakBefore w:val="0"/>
        <w:widowControl w:val="0"/>
        <w:kinsoku/>
        <w:wordWrap/>
        <w:overflowPunct/>
        <w:topLinePunct/>
        <w:autoSpaceDE/>
        <w:autoSpaceDN/>
        <w:bidi w:val="0"/>
        <w:adjustRightInd w:val="0"/>
        <w:snapToGrid w:val="0"/>
        <w:spacing w:beforeAutospacing="0" w:afterAutospacing="0" w:line="560" w:lineRule="exact"/>
        <w:ind w:left="0" w:right="0" w:firstLine="640" w:firstLineChars="200"/>
        <w:jc w:val="both"/>
        <w:textAlignment w:val="auto"/>
        <w:outlineLvl w:val="9"/>
        <w:rPr>
          <w:rFonts w:hint="eastAsia" w:ascii="仿宋_GB2312" w:hAnsi="仿宋_GB2312" w:eastAsia="仿宋_GB2312" w:cs="仿宋_GB2312"/>
          <w:color w:val="auto"/>
          <w:spacing w:val="0"/>
          <w:sz w:val="32"/>
          <w:szCs w:val="32"/>
        </w:rPr>
      </w:pPr>
      <w:bookmarkStart w:id="36" w:name="_Toc79273047_WPSOffice_Level3"/>
      <w:r>
        <w:rPr>
          <w:rFonts w:hint="eastAsia" w:ascii="仿宋_GB2312" w:hAnsi="仿宋_GB2312" w:eastAsia="仿宋_GB2312" w:cs="仿宋_GB2312"/>
          <w:color w:val="auto"/>
          <w:spacing w:val="0"/>
          <w:sz w:val="32"/>
          <w:szCs w:val="32"/>
        </w:rPr>
        <w:t>3.创新“大市场”共建共治共享机制</w:t>
      </w:r>
      <w:bookmarkEnd w:id="36"/>
    </w:p>
    <w:p>
      <w:pPr>
        <w:keepNext w:val="0"/>
        <w:keepLines w:val="0"/>
        <w:pageBreakBefore w:val="0"/>
        <w:widowControl w:val="0"/>
        <w:kinsoku/>
        <w:wordWrap/>
        <w:overflowPunct/>
        <w:topLinePunct/>
        <w:autoSpaceDE/>
        <w:autoSpaceDN/>
        <w:bidi w:val="0"/>
        <w:adjustRightInd w:val="0"/>
        <w:snapToGrid w:val="0"/>
        <w:spacing w:beforeAutospacing="0" w:afterAutospacing="0" w:line="560" w:lineRule="exact"/>
        <w:ind w:left="0" w:right="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完善政府、行业协会、企业、消费者多方参与的质量共建共治共享机制。深入推行“放管服”改革，降低准入门槛，培育更多的市场主体。优化营商环境，建立公平的市场竞争环境，加快建设现代化经济体系，加快构建以国内大循环为主体、国内国际双循环相互促进的大市场消费体系，推动建设行业竞争性质量指标数据库，引导企业对标提质增效，充分发挥行业组织、新闻媒体、消费者等社会监督作用，推动质量监管社会共治。</w:t>
      </w:r>
    </w:p>
    <w:p>
      <w:pPr>
        <w:keepNext w:val="0"/>
        <w:keepLines w:val="0"/>
        <w:pageBreakBefore w:val="0"/>
        <w:widowControl w:val="0"/>
        <w:kinsoku/>
        <w:wordWrap/>
        <w:overflowPunct/>
        <w:topLinePunct/>
        <w:autoSpaceDE/>
        <w:autoSpaceDN/>
        <w:bidi w:val="0"/>
        <w:adjustRightInd w:val="0"/>
        <w:snapToGrid w:val="0"/>
        <w:spacing w:beforeAutospacing="0" w:afterAutospacing="0" w:line="560" w:lineRule="exact"/>
        <w:ind w:left="0" w:right="0" w:firstLine="640" w:firstLineChars="200"/>
        <w:jc w:val="both"/>
        <w:textAlignment w:val="auto"/>
        <w:outlineLvl w:val="9"/>
        <w:rPr>
          <w:rFonts w:hint="eastAsia" w:ascii="仿宋_GB2312" w:hAnsi="仿宋_GB2312" w:eastAsia="仿宋_GB2312" w:cs="仿宋_GB2312"/>
          <w:color w:val="auto"/>
          <w:spacing w:val="0"/>
          <w:sz w:val="32"/>
          <w:szCs w:val="32"/>
        </w:rPr>
      </w:pPr>
      <w:bookmarkStart w:id="37" w:name="_Toc78064606_WPSOffice_Level3"/>
      <w:r>
        <w:rPr>
          <w:rFonts w:hint="eastAsia" w:ascii="仿宋_GB2312" w:hAnsi="仿宋_GB2312" w:eastAsia="仿宋_GB2312" w:cs="仿宋_GB2312"/>
          <w:color w:val="auto"/>
          <w:spacing w:val="0"/>
          <w:sz w:val="32"/>
          <w:szCs w:val="32"/>
        </w:rPr>
        <w:t>4.探索高质量发展评价机制</w:t>
      </w:r>
      <w:bookmarkEnd w:id="37"/>
    </w:p>
    <w:p>
      <w:pPr>
        <w:keepNext w:val="0"/>
        <w:keepLines w:val="0"/>
        <w:pageBreakBefore w:val="0"/>
        <w:widowControl w:val="0"/>
        <w:kinsoku/>
        <w:wordWrap/>
        <w:overflowPunct/>
        <w:topLinePunct/>
        <w:autoSpaceDE/>
        <w:autoSpaceDN/>
        <w:bidi w:val="0"/>
        <w:adjustRightInd w:val="0"/>
        <w:snapToGrid w:val="0"/>
        <w:spacing w:beforeAutospacing="0" w:afterAutospacing="0" w:line="560" w:lineRule="exact"/>
        <w:ind w:left="0" w:right="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加强宏观质量统计分析，积极防范质量、安全、金融、环境、生态、文化、城市建设、民生福祉等方面的风险。应用质量大数据、质量风险分析模型、消费安全分析模型、产品检验检测、服务质量评价、顾客消费体验等方法和工具开展质量水平评价。积极开展全要素生产效率评价、制造业竞争力指数、质量状况分析报告、公共服务满意度测评、区域或行业经济发展质量评价等，定期开展质量强</w:t>
      </w:r>
      <w:r>
        <w:rPr>
          <w:rFonts w:hint="eastAsia" w:ascii="仿宋_GB2312" w:hAnsi="仿宋_GB2312" w:eastAsia="仿宋_GB2312" w:cs="仿宋_GB2312"/>
          <w:color w:val="auto"/>
          <w:spacing w:val="0"/>
          <w:sz w:val="32"/>
          <w:szCs w:val="32"/>
          <w:lang w:val="en-US" w:eastAsia="zh-CN"/>
        </w:rPr>
        <w:t>县</w:t>
      </w:r>
      <w:r>
        <w:rPr>
          <w:rFonts w:hint="eastAsia" w:ascii="仿宋_GB2312" w:hAnsi="仿宋_GB2312" w:eastAsia="仿宋_GB2312" w:cs="仿宋_GB2312"/>
          <w:color w:val="auto"/>
          <w:spacing w:val="0"/>
          <w:sz w:val="32"/>
          <w:szCs w:val="32"/>
        </w:rPr>
        <w:t>效果评估工作，以评估促进质量提升工作的落地和执行。</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autoSpaceDE/>
        <w:autoSpaceDN/>
        <w:bidi w:val="0"/>
        <w:adjustRightInd/>
        <w:snapToGrid/>
        <w:spacing w:beforeAutospacing="0" w:afterAutospacing="0" w:line="560" w:lineRule="exact"/>
        <w:ind w:left="0" w:right="0" w:firstLine="640" w:firstLineChars="200"/>
        <w:jc w:val="both"/>
        <w:textAlignment w:val="auto"/>
        <w:outlineLvl w:val="9"/>
        <w:rPr>
          <w:rFonts w:hint="eastAsia" w:ascii="楷体_GB2312" w:hAnsi="楷体_GB2312" w:eastAsia="楷体_GB2312" w:cs="楷体_GB2312"/>
          <w:b w:val="0"/>
          <w:bCs w:val="0"/>
          <w:color w:val="auto"/>
          <w:spacing w:val="0"/>
          <w:sz w:val="32"/>
          <w:szCs w:val="32"/>
        </w:rPr>
      </w:pPr>
      <w:bookmarkStart w:id="38" w:name="_Toc812297435_WPSOffice_Level2"/>
      <w:r>
        <w:rPr>
          <w:rFonts w:hint="eastAsia" w:ascii="楷体_GB2312" w:hAnsi="楷体_GB2312" w:eastAsia="楷体_GB2312" w:cs="楷体_GB2312"/>
          <w:b w:val="0"/>
          <w:bCs w:val="0"/>
          <w:color w:val="auto"/>
          <w:spacing w:val="0"/>
          <w:sz w:val="32"/>
          <w:szCs w:val="32"/>
        </w:rPr>
        <w:t>（二）严守质量底线，完善质量监管体系</w:t>
      </w:r>
      <w:bookmarkEnd w:id="38"/>
    </w:p>
    <w:p>
      <w:pPr>
        <w:keepNext w:val="0"/>
        <w:keepLines w:val="0"/>
        <w:pageBreakBefore w:val="0"/>
        <w:widowControl w:val="0"/>
        <w:kinsoku/>
        <w:wordWrap/>
        <w:overflowPunct/>
        <w:topLinePunct/>
        <w:autoSpaceDE/>
        <w:autoSpaceDN/>
        <w:bidi w:val="0"/>
        <w:adjustRightInd w:val="0"/>
        <w:snapToGrid w:val="0"/>
        <w:spacing w:beforeAutospacing="0" w:afterAutospacing="0" w:line="560" w:lineRule="exact"/>
        <w:ind w:left="0" w:right="0" w:firstLine="640" w:firstLineChars="200"/>
        <w:jc w:val="both"/>
        <w:textAlignment w:val="auto"/>
        <w:outlineLvl w:val="9"/>
        <w:rPr>
          <w:rFonts w:hint="eastAsia" w:ascii="仿宋_GB2312" w:hAnsi="仿宋_GB2312" w:eastAsia="仿宋_GB2312" w:cs="仿宋_GB2312"/>
          <w:color w:val="auto"/>
          <w:spacing w:val="0"/>
          <w:sz w:val="32"/>
          <w:szCs w:val="32"/>
        </w:rPr>
      </w:pPr>
      <w:bookmarkStart w:id="39" w:name="_Toc2043124464_WPSOffice_Level3"/>
      <w:r>
        <w:rPr>
          <w:rFonts w:hint="eastAsia" w:ascii="仿宋_GB2312" w:hAnsi="仿宋_GB2312" w:eastAsia="仿宋_GB2312" w:cs="仿宋_GB2312"/>
          <w:color w:val="auto"/>
          <w:spacing w:val="0"/>
          <w:sz w:val="32"/>
          <w:szCs w:val="32"/>
        </w:rPr>
        <w:t>1.建立健全质量安全责任体系</w:t>
      </w:r>
      <w:bookmarkEnd w:id="39"/>
    </w:p>
    <w:p>
      <w:pPr>
        <w:keepNext w:val="0"/>
        <w:keepLines w:val="0"/>
        <w:pageBreakBefore w:val="0"/>
        <w:widowControl w:val="0"/>
        <w:kinsoku/>
        <w:wordWrap/>
        <w:overflowPunct/>
        <w:topLinePunct/>
        <w:autoSpaceDE/>
        <w:autoSpaceDN/>
        <w:bidi w:val="0"/>
        <w:adjustRightInd w:val="0"/>
        <w:snapToGrid w:val="0"/>
        <w:spacing w:beforeAutospacing="0" w:afterAutospacing="0" w:line="560" w:lineRule="exact"/>
        <w:ind w:left="0" w:right="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进一步提高政治意识、风险意识，及时发现问题和处理问题。落实各级安全监管责任，加强督导检查，优化营商环境，守住安全底线，保障人民群众身体健康和财产安全。建立健全企业质量自我声明、质量追溯、质量安全事故报告、缺陷产品召回等制度，全面推行质量安全责任制。 推进政府负总责、监管部门各负其责、生产经营者为第一责任人的质量安全责任体系建设，全面落实产品生产、流通等环节企业质量安全主体责任和建设、勘察、设计、施工、监理等主体项目负责人质量终身责任，为质量安全监管提供保障。</w:t>
      </w:r>
    </w:p>
    <w:p>
      <w:pPr>
        <w:keepNext w:val="0"/>
        <w:keepLines w:val="0"/>
        <w:pageBreakBefore w:val="0"/>
        <w:widowControl w:val="0"/>
        <w:kinsoku/>
        <w:wordWrap/>
        <w:overflowPunct/>
        <w:topLinePunct/>
        <w:autoSpaceDE/>
        <w:autoSpaceDN/>
        <w:bidi w:val="0"/>
        <w:adjustRightInd w:val="0"/>
        <w:snapToGrid w:val="0"/>
        <w:spacing w:beforeAutospacing="0" w:afterAutospacing="0" w:line="560" w:lineRule="exact"/>
        <w:ind w:left="0" w:right="0" w:firstLine="640" w:firstLineChars="200"/>
        <w:jc w:val="both"/>
        <w:textAlignment w:val="auto"/>
        <w:outlineLvl w:val="9"/>
        <w:rPr>
          <w:rFonts w:hint="eastAsia" w:ascii="仿宋_GB2312" w:hAnsi="仿宋_GB2312" w:eastAsia="仿宋_GB2312" w:cs="仿宋_GB2312"/>
          <w:color w:val="auto"/>
          <w:spacing w:val="0"/>
          <w:sz w:val="32"/>
          <w:szCs w:val="32"/>
        </w:rPr>
      </w:pPr>
      <w:bookmarkStart w:id="40" w:name="_Toc1722595405_WPSOffice_Level3"/>
      <w:r>
        <w:rPr>
          <w:rFonts w:hint="eastAsia" w:ascii="仿宋_GB2312" w:hAnsi="仿宋_GB2312" w:eastAsia="仿宋_GB2312" w:cs="仿宋_GB2312"/>
          <w:color w:val="auto"/>
          <w:spacing w:val="0"/>
          <w:sz w:val="32"/>
          <w:szCs w:val="32"/>
        </w:rPr>
        <w:t>2.加大质量监管和执法力度</w:t>
      </w:r>
      <w:bookmarkEnd w:id="40"/>
    </w:p>
    <w:p>
      <w:pPr>
        <w:keepNext w:val="0"/>
        <w:keepLines w:val="0"/>
        <w:pageBreakBefore w:val="0"/>
        <w:widowControl w:val="0"/>
        <w:kinsoku/>
        <w:wordWrap/>
        <w:overflowPunct/>
        <w:topLinePunct/>
        <w:autoSpaceDE/>
        <w:autoSpaceDN/>
        <w:bidi w:val="0"/>
        <w:adjustRightInd w:val="0"/>
        <w:snapToGrid w:val="0"/>
        <w:spacing w:beforeAutospacing="0" w:afterAutospacing="0" w:line="560" w:lineRule="exact"/>
        <w:ind w:left="0" w:right="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始终坚持把质量工作作为一项基础性、长期性、战略性任务来抓。严厉打击质量违法行为，综合运用各种监督手段，加强质量监督，扶优治劣，规范市场秩序。深入开展重点产品、重点行业、重点领域执法打假，严厉查办制假售假和利用高科技手段从事质量违法活动，严厉打击危害公共安全、人身健康以及生命财产安全等质量违法行为。在工程建设领域重点打击转包挂靠，深入治理违法发包分包等严重扰乱市场秩序行为。加大电商质量违法行为查处力度，营造良好的“互联网+”发展环境。</w:t>
      </w:r>
    </w:p>
    <w:p>
      <w:pPr>
        <w:keepNext w:val="0"/>
        <w:keepLines w:val="0"/>
        <w:pageBreakBefore w:val="0"/>
        <w:widowControl w:val="0"/>
        <w:kinsoku/>
        <w:wordWrap/>
        <w:overflowPunct/>
        <w:topLinePunct/>
        <w:autoSpaceDE/>
        <w:autoSpaceDN/>
        <w:bidi w:val="0"/>
        <w:adjustRightInd w:val="0"/>
        <w:snapToGrid w:val="0"/>
        <w:spacing w:beforeAutospacing="0" w:afterAutospacing="0" w:line="560" w:lineRule="exact"/>
        <w:ind w:left="0" w:right="0" w:firstLine="640" w:firstLineChars="200"/>
        <w:jc w:val="both"/>
        <w:textAlignment w:val="auto"/>
        <w:outlineLvl w:val="9"/>
        <w:rPr>
          <w:rFonts w:hint="eastAsia" w:ascii="仿宋_GB2312" w:hAnsi="仿宋_GB2312" w:eastAsia="仿宋_GB2312" w:cs="仿宋_GB2312"/>
          <w:color w:val="auto"/>
          <w:spacing w:val="0"/>
          <w:sz w:val="32"/>
          <w:szCs w:val="32"/>
        </w:rPr>
      </w:pPr>
      <w:bookmarkStart w:id="41" w:name="_Toc1305015893_WPSOffice_Level3"/>
      <w:r>
        <w:rPr>
          <w:rFonts w:hint="eastAsia" w:ascii="仿宋_GB2312" w:hAnsi="仿宋_GB2312" w:eastAsia="仿宋_GB2312" w:cs="仿宋_GB2312"/>
          <w:color w:val="auto"/>
          <w:spacing w:val="0"/>
          <w:sz w:val="32"/>
          <w:szCs w:val="32"/>
        </w:rPr>
        <w:t>3.不断加强质量风险防控</w:t>
      </w:r>
      <w:bookmarkEnd w:id="41"/>
    </w:p>
    <w:p>
      <w:pPr>
        <w:keepNext w:val="0"/>
        <w:keepLines w:val="0"/>
        <w:pageBreakBefore w:val="0"/>
        <w:widowControl w:val="0"/>
        <w:kinsoku/>
        <w:wordWrap/>
        <w:overflowPunct/>
        <w:topLinePunct/>
        <w:autoSpaceDE/>
        <w:autoSpaceDN/>
        <w:bidi w:val="0"/>
        <w:adjustRightInd w:val="0"/>
        <w:snapToGrid w:val="0"/>
        <w:spacing w:beforeAutospacing="0" w:afterAutospacing="0" w:line="560" w:lineRule="exact"/>
        <w:ind w:left="0" w:right="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形成质量安全社会共治格局，按照党委政府领导、相关部门牵头落实、社会各方参与的原则，把部门监督、行业监督、社会监督有机结合，建立社会共治工作机制，开展质量综合治理。建立健全联动协调机制，切实做好行政执法与刑事司法的有效衔接，完善部门质量信息通报和联合执法工作机制。引导行业、企业不断提升产品质量，加强行业自律。发挥消费者的社会监督作用，鼓励消费者对劣质产品和服务及时举报，强化自身维权意识，形成人人关心质量、人人监督质量的良好局面。发挥新闻媒体的宣传和监督作用，加强质量宣传，及时披露质量违规行为，形成强大的社会监督力量，推动形成质量共治格局。</w:t>
      </w:r>
    </w:p>
    <w:p>
      <w:pPr>
        <w:keepNext w:val="0"/>
        <w:keepLines w:val="0"/>
        <w:pageBreakBefore w:val="0"/>
        <w:widowControl w:val="0"/>
        <w:kinsoku/>
        <w:wordWrap/>
        <w:overflowPunct/>
        <w:topLinePunct/>
        <w:autoSpaceDE/>
        <w:autoSpaceDN/>
        <w:bidi w:val="0"/>
        <w:adjustRightInd w:val="0"/>
        <w:snapToGrid w:val="0"/>
        <w:spacing w:beforeAutospacing="0" w:afterAutospacing="0" w:line="560" w:lineRule="exact"/>
        <w:ind w:left="0" w:right="0" w:firstLine="640" w:firstLineChars="200"/>
        <w:jc w:val="both"/>
        <w:textAlignment w:val="auto"/>
        <w:outlineLvl w:val="9"/>
        <w:rPr>
          <w:rFonts w:hint="eastAsia" w:ascii="仿宋_GB2312" w:hAnsi="仿宋_GB2312" w:eastAsia="仿宋_GB2312" w:cs="仿宋_GB2312"/>
          <w:color w:val="auto"/>
          <w:spacing w:val="0"/>
          <w:sz w:val="32"/>
          <w:szCs w:val="32"/>
        </w:rPr>
      </w:pPr>
      <w:bookmarkStart w:id="42" w:name="_Toc337073853_WPSOffice_Level3"/>
      <w:r>
        <w:rPr>
          <w:rFonts w:hint="eastAsia" w:ascii="仿宋_GB2312" w:hAnsi="仿宋_GB2312" w:eastAsia="仿宋_GB2312" w:cs="仿宋_GB2312"/>
          <w:color w:val="auto"/>
          <w:spacing w:val="0"/>
          <w:sz w:val="32"/>
          <w:szCs w:val="32"/>
        </w:rPr>
        <w:t>4.加强食品、药品、特种设备及重点工业品监管</w:t>
      </w:r>
      <w:bookmarkEnd w:id="42"/>
    </w:p>
    <w:p>
      <w:pPr>
        <w:keepNext w:val="0"/>
        <w:keepLines w:val="0"/>
        <w:pageBreakBefore w:val="0"/>
        <w:widowControl w:val="0"/>
        <w:kinsoku/>
        <w:wordWrap/>
        <w:overflowPunct/>
        <w:topLinePunct/>
        <w:autoSpaceDE/>
        <w:autoSpaceDN/>
        <w:bidi w:val="0"/>
        <w:adjustRightInd w:val="0"/>
        <w:snapToGrid w:val="0"/>
        <w:spacing w:beforeAutospacing="0" w:afterAutospacing="0" w:line="560" w:lineRule="exact"/>
        <w:ind w:left="0" w:right="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1）遵循“四个最严”要求，建立食品安全监管体系。深入贯彻落实中央、省、市关于深化改革加强食品安全工作的系列部署，全面落实党政领导干部食品安全责任制规定，严把食品生产加工质量安全关、食品流通销售质量安全关</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 xml:space="preserve"> 餐饮服务质量安全关等食品安全“六道关口”；健全全</w:t>
      </w:r>
      <w:r>
        <w:rPr>
          <w:rFonts w:hint="eastAsia" w:ascii="仿宋_GB2312" w:hAnsi="仿宋_GB2312" w:eastAsia="仿宋_GB2312" w:cs="仿宋_GB2312"/>
          <w:color w:val="auto"/>
          <w:spacing w:val="0"/>
          <w:sz w:val="32"/>
          <w:szCs w:val="32"/>
          <w:lang w:val="en-US" w:eastAsia="zh-CN"/>
        </w:rPr>
        <w:t>县</w:t>
      </w:r>
      <w:r>
        <w:rPr>
          <w:rFonts w:hint="eastAsia" w:ascii="仿宋_GB2312" w:hAnsi="仿宋_GB2312" w:eastAsia="仿宋_GB2312" w:cs="仿宋_GB2312"/>
          <w:color w:val="auto"/>
          <w:spacing w:val="0"/>
          <w:sz w:val="32"/>
          <w:szCs w:val="32"/>
        </w:rPr>
        <w:t>食品生产经营主体责任体系、食品安全属地责任体系、食品安全检验检测体系、食品安全应急处置体系等“八大体系”；深入实施校园食品安全守护行动、农村假冒伪劣食品治理行动、食品生产加工“小作坊”提升行动、餐饮质量安全提升行动、保健食品和婴幼儿配方乳粉专项行动等“十大行动”，建立食品安全执法和从业人员培训和考试信息化系统，构建“从农田到餐桌”全过程、全链条监管机制，提升食品安全治理能力，推动产业高质量发展，让人民群众吃得安全、吃得健康、吃得放心。</w:t>
      </w:r>
    </w:p>
    <w:p>
      <w:pPr>
        <w:keepNext w:val="0"/>
        <w:keepLines w:val="0"/>
        <w:pageBreakBefore w:val="0"/>
        <w:widowControl w:val="0"/>
        <w:kinsoku/>
        <w:wordWrap/>
        <w:overflowPunct/>
        <w:topLinePunct/>
        <w:autoSpaceDE/>
        <w:autoSpaceDN/>
        <w:bidi w:val="0"/>
        <w:adjustRightInd w:val="0"/>
        <w:snapToGrid w:val="0"/>
        <w:spacing w:beforeAutospacing="0" w:afterAutospacing="0" w:line="560" w:lineRule="exact"/>
        <w:ind w:left="0" w:right="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2）构建更加科学的现代化药品流通、医疗器械和化妆品监管体系。严防安全风险，深入开展专项检查，对流通、使用环节实施严格监管，持续开展执业药师挂证、违规网络销售药械、违规使用化妆品原料等问题专项整治活动，净化药品 、</w:t>
      </w:r>
      <w:r>
        <w:rPr>
          <w:rFonts w:hint="eastAsia" w:ascii="仿宋_GB2312" w:hAnsi="仿宋_GB2312" w:eastAsia="仿宋_GB2312" w:cs="仿宋_GB2312"/>
          <w:color w:val="auto"/>
          <w:spacing w:val="0"/>
          <w:sz w:val="32"/>
          <w:szCs w:val="32"/>
          <w:lang w:val="en-US" w:eastAsia="zh-CN"/>
        </w:rPr>
        <w:t>医疗</w:t>
      </w:r>
      <w:r>
        <w:rPr>
          <w:rFonts w:hint="eastAsia" w:ascii="仿宋_GB2312" w:hAnsi="仿宋_GB2312" w:eastAsia="仿宋_GB2312" w:cs="仿宋_GB2312"/>
          <w:color w:val="auto"/>
          <w:spacing w:val="0"/>
          <w:sz w:val="32"/>
          <w:szCs w:val="32"/>
        </w:rPr>
        <w:t>器械和化妆品市场秩序。创新监管手段，探索开展“互联网＋”监管模式，配合生产端完善药品零售领域追溯体系建设以及新生业态监管。加强检验检测体系建设，完善监管技术支撑能力，加强专业技术人才队伍和专家智库建设，夯实专业化监管基础，推进药品安全诚信体系建设，强化市场主体的安全责任，构建多元、和谐的社会共治格局。</w:t>
      </w:r>
      <w:r>
        <w:rPr>
          <w:rFonts w:hint="eastAsia" w:ascii="仿宋_GB2312" w:hAnsi="仿宋_GB2312" w:eastAsia="仿宋_GB2312" w:cs="仿宋_GB2312"/>
          <w:color w:val="auto"/>
          <w:spacing w:val="0"/>
          <w:sz w:val="32"/>
          <w:szCs w:val="32"/>
          <w:lang w:val="en-US" w:eastAsia="zh-CN"/>
        </w:rPr>
        <w:t>大力推进</w:t>
      </w:r>
      <w:r>
        <w:rPr>
          <w:rFonts w:hint="eastAsia" w:ascii="仿宋_GB2312" w:hAnsi="仿宋_GB2312" w:eastAsia="仿宋_GB2312" w:cs="仿宋_GB2312"/>
          <w:color w:val="auto"/>
          <w:spacing w:val="0"/>
          <w:sz w:val="32"/>
          <w:szCs w:val="32"/>
        </w:rPr>
        <w:t>药品行政审批制度改革，完善药品产业创新扶持政策，支持医药研发创新和医药产业健康发展。</w:t>
      </w:r>
    </w:p>
    <w:p>
      <w:pPr>
        <w:keepNext w:val="0"/>
        <w:keepLines w:val="0"/>
        <w:pageBreakBefore w:val="0"/>
        <w:widowControl w:val="0"/>
        <w:kinsoku/>
        <w:wordWrap/>
        <w:overflowPunct/>
        <w:topLinePunct/>
        <w:autoSpaceDE/>
        <w:autoSpaceDN/>
        <w:bidi w:val="0"/>
        <w:adjustRightInd w:val="0"/>
        <w:snapToGrid w:val="0"/>
        <w:spacing w:beforeAutospacing="0" w:afterAutospacing="0" w:line="560" w:lineRule="exact"/>
        <w:ind w:left="0" w:right="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（3）深入推进特种设备安全监管现代化。探索提升安全监管效能，督促企业落实管理责任，健全风险会商研判协同机制，对特种设备安全隐患进行动态管理，提高风险预警和应急 处置能力。综合运用市场化机制、信息化手段，加大信息公开力度，督促企业依据相关法律法规和安全技术规范要求，严格落实特种设备安全主体责任，推广特种设备安全责任强制保险。强化安全监管能力建设，加强基层安全监察人员培训，提高基层安全监察机构执法能力。</w:t>
      </w:r>
    </w:p>
    <w:p>
      <w:pPr>
        <w:keepNext w:val="0"/>
        <w:keepLines w:val="0"/>
        <w:pageBreakBefore w:val="0"/>
        <w:widowControl w:val="0"/>
        <w:kinsoku/>
        <w:wordWrap/>
        <w:overflowPunct/>
        <w:topLinePunct/>
        <w:autoSpaceDE/>
        <w:autoSpaceDN/>
        <w:bidi w:val="0"/>
        <w:adjustRightInd w:val="0"/>
        <w:snapToGrid w:val="0"/>
        <w:spacing w:beforeAutospacing="0" w:afterAutospacing="0" w:line="560" w:lineRule="exact"/>
        <w:ind w:left="0" w:right="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4）打造闭环式工业产品质量安全监管体系。以与人民生活密切相关消费品为重点，从生产源头、流通渠道、消费终端多管齐下，加强市场监管执法。聚焦与人民生活密切相关消费品，强化服装、日用百货、家用电器、建材等质量监管。深化生产许可、监督抽查和风险监控改革，全面提升质量监督服务提质增效升级的工作效能。加强生产与流通领域监管联动，加大在流通领域的监督抽查力度。全面提高质量安全风险监测、研判、预警和处置能力，及时跟踪监测和防范化解行业性、区域性产品质量安全风险。</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autoSpaceDE/>
        <w:autoSpaceDN/>
        <w:bidi w:val="0"/>
        <w:adjustRightInd/>
        <w:snapToGrid/>
        <w:spacing w:beforeAutospacing="0" w:afterAutospacing="0" w:line="560" w:lineRule="exact"/>
        <w:ind w:left="0" w:right="0" w:firstLine="640" w:firstLineChars="200"/>
        <w:jc w:val="both"/>
        <w:textAlignment w:val="auto"/>
        <w:outlineLvl w:val="9"/>
        <w:rPr>
          <w:rFonts w:hint="eastAsia" w:ascii="楷体_GB2312" w:hAnsi="楷体_GB2312" w:eastAsia="楷体_GB2312" w:cs="楷体_GB2312"/>
          <w:b w:val="0"/>
          <w:bCs w:val="0"/>
          <w:color w:val="auto"/>
          <w:spacing w:val="0"/>
          <w:sz w:val="32"/>
          <w:szCs w:val="32"/>
        </w:rPr>
      </w:pPr>
      <w:bookmarkStart w:id="43" w:name="_Toc676198418_WPSOffice_Level2"/>
      <w:r>
        <w:rPr>
          <w:rFonts w:hint="eastAsia" w:ascii="楷体_GB2312" w:hAnsi="楷体_GB2312" w:eastAsia="楷体_GB2312" w:cs="楷体_GB2312"/>
          <w:b w:val="0"/>
          <w:bCs w:val="0"/>
          <w:color w:val="auto"/>
          <w:spacing w:val="0"/>
          <w:sz w:val="32"/>
          <w:szCs w:val="32"/>
        </w:rPr>
        <w:t>（三）落实企业主体责任，全面推进质量提升行动</w:t>
      </w:r>
      <w:bookmarkEnd w:id="43"/>
    </w:p>
    <w:p>
      <w:pPr>
        <w:keepNext w:val="0"/>
        <w:keepLines w:val="0"/>
        <w:pageBreakBefore w:val="0"/>
        <w:widowControl w:val="0"/>
        <w:numPr>
          <w:ilvl w:val="0"/>
          <w:numId w:val="0"/>
        </w:numPr>
        <w:kinsoku/>
        <w:wordWrap/>
        <w:overflowPunct/>
        <w:topLinePunct/>
        <w:autoSpaceDE/>
        <w:autoSpaceDN/>
        <w:bidi w:val="0"/>
        <w:adjustRightInd w:val="0"/>
        <w:snapToGrid w:val="0"/>
        <w:spacing w:beforeAutospacing="0" w:afterAutospacing="0" w:line="560" w:lineRule="exact"/>
        <w:ind w:left="0" w:right="0" w:rightChars="0" w:firstLine="640" w:firstLineChars="200"/>
        <w:jc w:val="both"/>
        <w:textAlignment w:val="auto"/>
        <w:outlineLvl w:val="9"/>
        <w:rPr>
          <w:rFonts w:hint="eastAsia" w:ascii="仿宋_GB2312" w:hAnsi="仿宋_GB2312" w:eastAsia="仿宋_GB2312" w:cs="仿宋_GB2312"/>
          <w:color w:val="auto"/>
          <w:spacing w:val="0"/>
          <w:sz w:val="32"/>
          <w:szCs w:val="32"/>
          <w:highlight w:val="none"/>
        </w:rPr>
      </w:pPr>
      <w:bookmarkStart w:id="44" w:name="_Toc24163910_WPSOffice_Level3"/>
      <w:r>
        <w:rPr>
          <w:rFonts w:hint="eastAsia" w:ascii="仿宋_GB2312" w:hAnsi="仿宋_GB2312" w:eastAsia="仿宋_GB2312" w:cs="仿宋_GB2312"/>
          <w:color w:val="auto"/>
          <w:spacing w:val="0"/>
          <w:sz w:val="32"/>
          <w:szCs w:val="32"/>
          <w:highlight w:val="none"/>
          <w:lang w:val="en-US" w:eastAsia="zh-CN"/>
        </w:rPr>
        <w:t>1.</w:t>
      </w:r>
      <w:r>
        <w:rPr>
          <w:rFonts w:hint="eastAsia" w:ascii="仿宋_GB2312" w:hAnsi="仿宋_GB2312" w:eastAsia="仿宋_GB2312" w:cs="仿宋_GB2312"/>
          <w:color w:val="auto"/>
          <w:spacing w:val="0"/>
          <w:sz w:val="32"/>
          <w:szCs w:val="32"/>
          <w:highlight w:val="none"/>
        </w:rPr>
        <w:t>开展高新技术产业技术质量提升行动</w:t>
      </w:r>
      <w:bookmarkEnd w:id="44"/>
    </w:p>
    <w:p>
      <w:pPr>
        <w:keepNext w:val="0"/>
        <w:keepLines w:val="0"/>
        <w:pageBreakBefore w:val="0"/>
        <w:widowControl w:val="0"/>
        <w:numPr>
          <w:ilvl w:val="0"/>
          <w:numId w:val="0"/>
        </w:numPr>
        <w:kinsoku/>
        <w:wordWrap/>
        <w:overflowPunct/>
        <w:topLinePunct/>
        <w:autoSpaceDE/>
        <w:autoSpaceDN/>
        <w:bidi w:val="0"/>
        <w:adjustRightInd w:val="0"/>
        <w:snapToGrid w:val="0"/>
        <w:spacing w:beforeAutospacing="0" w:afterAutospacing="0" w:line="560" w:lineRule="exact"/>
        <w:ind w:left="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充分发挥</w:t>
      </w:r>
      <w:r>
        <w:rPr>
          <w:rFonts w:hint="eastAsia" w:ascii="仿宋_GB2312" w:hAnsi="仿宋_GB2312" w:eastAsia="仿宋_GB2312" w:cs="仿宋_GB2312"/>
          <w:i w:val="0"/>
          <w:iCs w:val="0"/>
          <w:caps w:val="0"/>
          <w:color w:val="auto"/>
          <w:spacing w:val="0"/>
          <w:sz w:val="32"/>
          <w:szCs w:val="32"/>
          <w:shd w:val="clear" w:fill="FFFFFF"/>
          <w:lang w:val="en-US" w:eastAsia="zh-CN"/>
        </w:rPr>
        <w:t>高新技术</w:t>
      </w:r>
      <w:r>
        <w:rPr>
          <w:rFonts w:hint="eastAsia" w:ascii="仿宋_GB2312" w:hAnsi="仿宋_GB2312" w:eastAsia="仿宋_GB2312" w:cs="仿宋_GB2312"/>
          <w:i w:val="0"/>
          <w:iCs w:val="0"/>
          <w:caps w:val="0"/>
          <w:color w:val="auto"/>
          <w:spacing w:val="0"/>
          <w:sz w:val="32"/>
          <w:szCs w:val="32"/>
          <w:shd w:val="clear" w:fill="FFFFFF"/>
        </w:rPr>
        <w:t>企业在科技创新中的主体作用，深入实施创新型企业培育行动，建立完善“微成长、小升高、高变强”创新型企业梯次培育机制，优化孵化培育、政策培训、企业认定等服务，</w:t>
      </w:r>
      <w:r>
        <w:rPr>
          <w:rFonts w:hint="eastAsia" w:ascii="仿宋_GB2312" w:hAnsi="仿宋_GB2312" w:eastAsia="仿宋_GB2312" w:cs="仿宋_GB2312"/>
          <w:i w:val="0"/>
          <w:iCs w:val="0"/>
          <w:caps w:val="0"/>
          <w:color w:val="auto"/>
          <w:spacing w:val="0"/>
          <w:kern w:val="0"/>
          <w:sz w:val="32"/>
          <w:szCs w:val="32"/>
          <w:highlight w:val="none"/>
          <w:shd w:val="clear" w:fill="FFFFFF"/>
          <w:lang w:val="en-US" w:eastAsia="zh-CN" w:bidi="ar"/>
        </w:rPr>
        <w:t>坚持以高水平创新平台的建设为重点，积极争取国家、省级重大创新平台和重大科技基础设施布局，积极引进高水平科研机构，设立院士工作站、博士后科研工作站、重点实验室、工程中心和企业技术中心等各类创新平台，加大财政扶持力度。深入实施</w:t>
      </w:r>
      <w:r>
        <w:rPr>
          <w:rFonts w:hint="eastAsia" w:ascii="仿宋_GB2312" w:hAnsi="仿宋_GB2312" w:eastAsia="仿宋_GB2312" w:cs="仿宋_GB2312"/>
          <w:b/>
          <w:bCs/>
          <w:i w:val="0"/>
          <w:iCs w:val="0"/>
          <w:caps w:val="0"/>
          <w:color w:val="auto"/>
          <w:spacing w:val="0"/>
          <w:sz w:val="32"/>
          <w:szCs w:val="32"/>
          <w:highlight w:val="none"/>
          <w:shd w:val="clear" w:fill="FFFFFF"/>
        </w:rPr>
        <w:t>科技创新、“三大改造”、</w:t>
      </w:r>
      <w:r>
        <w:rPr>
          <w:rStyle w:val="15"/>
          <w:rFonts w:hint="eastAsia" w:ascii="仿宋_GB2312" w:hAnsi="仿宋_GB2312" w:eastAsia="仿宋_GB2312" w:cs="仿宋_GB2312"/>
          <w:b/>
          <w:bCs/>
          <w:i w:val="0"/>
          <w:iCs w:val="0"/>
          <w:caps w:val="0"/>
          <w:color w:val="auto"/>
          <w:spacing w:val="0"/>
          <w:sz w:val="32"/>
          <w:szCs w:val="32"/>
          <w:highlight w:val="none"/>
          <w:shd w:val="clear" w:fill="FFFFFF"/>
        </w:rPr>
        <w:t>强化创新载体建设</w:t>
      </w:r>
      <w:r>
        <w:rPr>
          <w:rStyle w:val="15"/>
          <w:rFonts w:hint="eastAsia" w:ascii="仿宋_GB2312" w:hAnsi="仿宋_GB2312" w:eastAsia="仿宋_GB2312" w:cs="仿宋_GB2312"/>
          <w:b/>
          <w:bCs/>
          <w:i w:val="0"/>
          <w:iCs w:val="0"/>
          <w:caps w:val="0"/>
          <w:color w:val="auto"/>
          <w:spacing w:val="0"/>
          <w:sz w:val="32"/>
          <w:szCs w:val="32"/>
          <w:highlight w:val="none"/>
          <w:shd w:val="clear" w:fill="FFFFFF"/>
          <w:lang w:eastAsia="zh-CN"/>
        </w:rPr>
        <w:t>，</w:t>
      </w:r>
      <w:r>
        <w:rPr>
          <w:rFonts w:hint="eastAsia" w:ascii="仿宋_GB2312" w:hAnsi="仿宋_GB2312" w:eastAsia="仿宋_GB2312" w:cs="仿宋_GB2312"/>
          <w:color w:val="auto"/>
          <w:spacing w:val="0"/>
          <w:sz w:val="32"/>
          <w:szCs w:val="32"/>
        </w:rPr>
        <w:t>到2025年，全县实现1家国家级研发中心、重点实验室，15家省级研发中心、工程技术中心、重点实验室，25家市级各类研发中心。</w:t>
      </w:r>
    </w:p>
    <w:p>
      <w:pPr>
        <w:keepNext w:val="0"/>
        <w:keepLines w:val="0"/>
        <w:pageBreakBefore w:val="0"/>
        <w:widowControl w:val="0"/>
        <w:numPr>
          <w:ilvl w:val="0"/>
          <w:numId w:val="0"/>
        </w:numPr>
        <w:kinsoku/>
        <w:wordWrap/>
        <w:overflowPunct/>
        <w:topLinePunct/>
        <w:autoSpaceDE/>
        <w:autoSpaceDN/>
        <w:bidi w:val="0"/>
        <w:adjustRightInd w:val="0"/>
        <w:snapToGrid w:val="0"/>
        <w:spacing w:beforeAutospacing="0" w:afterAutospacing="0" w:line="560" w:lineRule="exact"/>
        <w:ind w:left="0" w:right="0" w:firstLine="640" w:firstLineChars="200"/>
        <w:jc w:val="both"/>
        <w:textAlignment w:val="auto"/>
        <w:outlineLvl w:val="9"/>
        <w:rPr>
          <w:rFonts w:hint="eastAsia" w:ascii="仿宋_GB2312" w:hAnsi="仿宋_GB2312" w:eastAsia="仿宋_GB2312" w:cs="仿宋_GB2312"/>
          <w:color w:val="auto"/>
          <w:spacing w:val="0"/>
          <w:sz w:val="32"/>
          <w:szCs w:val="32"/>
        </w:rPr>
      </w:pPr>
      <w:bookmarkStart w:id="45" w:name="_Toc362971209_WPSOffice_Level3"/>
      <w:r>
        <w:rPr>
          <w:rFonts w:hint="eastAsia" w:ascii="仿宋_GB2312" w:hAnsi="仿宋_GB2312" w:eastAsia="仿宋_GB2312" w:cs="仿宋_GB2312"/>
          <w:color w:val="auto"/>
          <w:spacing w:val="0"/>
          <w:sz w:val="32"/>
          <w:szCs w:val="32"/>
          <w:lang w:val="en-US" w:eastAsia="zh-CN"/>
        </w:rPr>
        <w:t>2.</w:t>
      </w:r>
      <w:r>
        <w:rPr>
          <w:rFonts w:hint="eastAsia" w:ascii="仿宋_GB2312" w:hAnsi="仿宋_GB2312" w:eastAsia="仿宋_GB2312" w:cs="仿宋_GB2312"/>
          <w:color w:val="auto"/>
          <w:spacing w:val="0"/>
          <w:sz w:val="32"/>
          <w:szCs w:val="32"/>
        </w:rPr>
        <w:t>开展制造业质量提升行动</w:t>
      </w:r>
      <w:bookmarkEnd w:id="45"/>
    </w:p>
    <w:p>
      <w:pPr>
        <w:keepNext w:val="0"/>
        <w:keepLines w:val="0"/>
        <w:pageBreakBefore w:val="0"/>
        <w:widowControl w:val="0"/>
        <w:kinsoku/>
        <w:wordWrap/>
        <w:overflowPunct/>
        <w:topLinePunct/>
        <w:autoSpaceDE/>
        <w:autoSpaceDN/>
        <w:bidi w:val="0"/>
        <w:spacing w:beforeAutospacing="0" w:afterAutospacing="0" w:line="560" w:lineRule="exact"/>
        <w:ind w:left="0" w:right="0" w:firstLine="640" w:firstLineChars="200"/>
        <w:jc w:val="both"/>
        <w:textAlignment w:val="auto"/>
        <w:outlineLvl w:val="9"/>
        <w:rPr>
          <w:rFonts w:hint="eastAsia" w:ascii="仿宋_GB2312" w:hAnsi="仿宋_GB2312" w:eastAsia="仿宋_GB2312" w:cs="仿宋_GB2312"/>
          <w:color w:val="auto"/>
          <w:spacing w:val="0"/>
          <w:sz w:val="32"/>
          <w:szCs w:val="32"/>
          <w:highlight w:val="none"/>
          <w:lang w:val="en-US" w:eastAsia="zh-CN"/>
        </w:rPr>
      </w:pPr>
      <w:r>
        <w:rPr>
          <w:rFonts w:hint="eastAsia" w:ascii="仿宋_GB2312" w:hAnsi="仿宋_GB2312" w:eastAsia="仿宋_GB2312" w:cs="仿宋_GB2312"/>
          <w:color w:val="auto"/>
          <w:spacing w:val="0"/>
          <w:sz w:val="32"/>
          <w:szCs w:val="32"/>
          <w:highlight w:val="none"/>
        </w:rPr>
        <w:t>坚持把制造业高质量发展作为主攻方向</w:t>
      </w:r>
      <w:r>
        <w:rPr>
          <w:rFonts w:hint="eastAsia" w:ascii="仿宋_GB2312" w:hAnsi="仿宋_GB2312" w:eastAsia="仿宋_GB2312" w:cs="仿宋_GB2312"/>
          <w:color w:val="auto"/>
          <w:spacing w:val="0"/>
          <w:sz w:val="32"/>
          <w:szCs w:val="32"/>
        </w:rPr>
        <w:t>，突出数字引领，聚焦产业基础高级化、产业链条现代化，</w:t>
      </w:r>
      <w:r>
        <w:rPr>
          <w:rFonts w:hint="eastAsia" w:ascii="仿宋_GB2312" w:hAnsi="仿宋_GB2312" w:eastAsia="仿宋_GB2312" w:cs="仿宋_GB2312"/>
          <w:color w:val="auto"/>
          <w:spacing w:val="0"/>
          <w:sz w:val="32"/>
          <w:szCs w:val="32"/>
          <w:highlight w:val="none"/>
        </w:rPr>
        <w:t>以智能制造、绿色改造为引领，实施主导产业提升、新兴产业提速、传统产业提质“三提”计划。</w:t>
      </w:r>
      <w:r>
        <w:rPr>
          <w:rFonts w:hint="eastAsia" w:ascii="仿宋_GB2312" w:hAnsi="仿宋_GB2312" w:eastAsia="仿宋_GB2312" w:cs="仿宋_GB2312"/>
          <w:color w:val="auto"/>
          <w:spacing w:val="0"/>
          <w:sz w:val="32"/>
          <w:szCs w:val="32"/>
        </w:rPr>
        <w:t>做大做强食品加工、医药化工、节能环保等主导产业，推动制造业高质量发展。大力培育创新龙头企业，落实税收、财政奖补等优惠政策，引导企业持续加大研发投入</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支持企业争创国家级、省级研发平台，建立研发机构、创新联盟，不断增强企业创新活力。实施创新企业倍增计划，新培育国家高新技术企业10家，建设市级以上研发中心10家，培育科技创新孵化器1个。探索“5G+工业互联”融合发展，加强物联网、大数据、云计算、人工智能在工业领域的应用，加大企业自主创新和研发能力</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深入推进智能车间、智能工厂的培育建设，促进传统制造业转型升级</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到2025年基于新一代智能化、信息化技术在工业企业得到广泛应用，全县规模以上工业企业关键工序智能化数控率达到80%以上。大力发展数字经济，持续实施“互联网+”、“5G+工业互联网”等行动，推动信息化与制造业的深度融合。</w:t>
      </w:r>
      <w:r>
        <w:rPr>
          <w:rFonts w:hint="eastAsia" w:ascii="仿宋_GB2312" w:hAnsi="仿宋_GB2312" w:eastAsia="仿宋_GB2312" w:cs="仿宋_GB2312"/>
          <w:color w:val="auto"/>
          <w:spacing w:val="0"/>
          <w:sz w:val="32"/>
          <w:szCs w:val="32"/>
          <w:highlight w:val="none"/>
        </w:rPr>
        <w:t>提升科技创新能力，制定实施科技强县行动计划，促进企业科技成果转化。实施研发孵化平台、知识产权平台、科技服务平台、检验检测平台等四大创新载体建设。</w:t>
      </w:r>
      <w:r>
        <w:rPr>
          <w:rFonts w:hint="eastAsia" w:ascii="仿宋_GB2312" w:hAnsi="仿宋_GB2312" w:eastAsia="仿宋_GB2312" w:cs="仿宋_GB2312"/>
          <w:color w:val="auto"/>
          <w:spacing w:val="0"/>
          <w:sz w:val="32"/>
          <w:szCs w:val="32"/>
        </w:rPr>
        <w:t>积极培育慧联、创力新能源、台冠电子等三家行业领军的高新技术企业。到2025年，全县实现1家国家级研发中心、重点实验室，15家省级研发中心、工程技术中心、重点实验室，25家市级各类研发中心</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全县高新技术企业达到18家、国家科技型中小企业达到30家。</w:t>
      </w:r>
    </w:p>
    <w:p>
      <w:pPr>
        <w:keepNext w:val="0"/>
        <w:keepLines w:val="0"/>
        <w:pageBreakBefore w:val="0"/>
        <w:widowControl w:val="0"/>
        <w:numPr>
          <w:ilvl w:val="0"/>
          <w:numId w:val="0"/>
        </w:numPr>
        <w:kinsoku/>
        <w:wordWrap/>
        <w:overflowPunct/>
        <w:topLinePunct/>
        <w:autoSpaceDE/>
        <w:autoSpaceDN/>
        <w:bidi w:val="0"/>
        <w:adjustRightInd w:val="0"/>
        <w:snapToGrid w:val="0"/>
        <w:spacing w:beforeAutospacing="0" w:afterAutospacing="0" w:line="560" w:lineRule="exact"/>
        <w:ind w:left="0" w:right="0" w:firstLine="640" w:firstLineChars="200"/>
        <w:jc w:val="both"/>
        <w:textAlignment w:val="auto"/>
        <w:outlineLvl w:val="9"/>
        <w:rPr>
          <w:rFonts w:hint="eastAsia" w:ascii="仿宋_GB2312" w:hAnsi="仿宋_GB2312" w:eastAsia="仿宋_GB2312" w:cs="仿宋_GB2312"/>
          <w:color w:val="auto"/>
          <w:spacing w:val="0"/>
          <w:sz w:val="32"/>
          <w:szCs w:val="32"/>
          <w:highlight w:val="none"/>
          <w:lang w:val="en-US" w:eastAsia="zh-CN"/>
        </w:rPr>
      </w:pPr>
      <w:bookmarkStart w:id="46" w:name="_Toc631835286_WPSOffice_Level3"/>
      <w:r>
        <w:rPr>
          <w:rFonts w:hint="eastAsia" w:ascii="仿宋_GB2312" w:hAnsi="仿宋_GB2312" w:eastAsia="仿宋_GB2312" w:cs="仿宋_GB2312"/>
          <w:color w:val="auto"/>
          <w:spacing w:val="0"/>
          <w:sz w:val="32"/>
          <w:szCs w:val="32"/>
          <w:highlight w:val="none"/>
          <w:lang w:val="en-US" w:eastAsia="zh-CN"/>
        </w:rPr>
        <w:t>3.</w:t>
      </w:r>
      <w:r>
        <w:rPr>
          <w:rFonts w:hint="eastAsia" w:ascii="仿宋_GB2312" w:hAnsi="仿宋_GB2312" w:eastAsia="仿宋_GB2312" w:cs="仿宋_GB2312"/>
          <w:color w:val="auto"/>
          <w:spacing w:val="0"/>
          <w:sz w:val="32"/>
          <w:szCs w:val="32"/>
          <w:highlight w:val="none"/>
        </w:rPr>
        <w:t>开展农产品、食品药品质量提升行动</w:t>
      </w:r>
      <w:bookmarkEnd w:id="46"/>
    </w:p>
    <w:p>
      <w:pPr>
        <w:pStyle w:val="1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autoSpaceDE/>
        <w:autoSpaceDN/>
        <w:bidi w:val="0"/>
        <w:spacing w:before="0" w:beforeAutospacing="0" w:after="0" w:afterAutospacing="0" w:line="560" w:lineRule="exact"/>
        <w:ind w:left="0" w:right="0" w:firstLine="640" w:firstLineChars="200"/>
        <w:jc w:val="both"/>
        <w:textAlignment w:val="auto"/>
        <w:outlineLvl w:val="9"/>
        <w:rPr>
          <w:rFonts w:hint="eastAsia" w:ascii="仿宋_GB2312" w:hAnsi="仿宋_GB2312" w:eastAsia="仿宋_GB2312" w:cs="仿宋_GB2312"/>
          <w:color w:val="auto"/>
          <w:spacing w:val="0"/>
          <w:kern w:val="2"/>
          <w:sz w:val="32"/>
          <w:szCs w:val="32"/>
          <w:lang w:val="en-US" w:eastAsia="zh-CN"/>
        </w:rPr>
      </w:pPr>
      <w:r>
        <w:rPr>
          <w:rFonts w:hint="eastAsia" w:ascii="仿宋_GB2312" w:hAnsi="仿宋_GB2312" w:eastAsia="仿宋_GB2312" w:cs="仿宋_GB2312"/>
          <w:color w:val="auto"/>
          <w:spacing w:val="0"/>
          <w:kern w:val="2"/>
          <w:sz w:val="32"/>
          <w:szCs w:val="32"/>
          <w:lang w:val="en-US" w:eastAsia="zh-CN"/>
        </w:rPr>
        <w:t>持续巩固国家农产品质量安全县创建成果。加大农产品（ 水产品） 、畜产品的质量监管与检测水平。推行食用农产品承诺达标合格证制度，完善农产品质量安全追溯体系。发展特色生态农业。着力打造区域性特色优质绿色无公害农副产品供给基地，保证农产品质量安全，实施品牌带动战略，积极开展“三品一标”认证，围绕创建全国休闲农业重点县、省级“三链”重构示范县等，实施“一村一品、一乡一特、一县一业”，发展休闲观光园区、康养基地、乡村民宿、特色文化产业。支持鲁花食品、克明面业等大型企业做强做优，鼓励建立原料生产加工基地，培育10家以上具有核心竞争力的大型食品企业，建立完善质量标准、安全监测、产品溯源等质量体系，推动农产品、食品药品企业实行标准化生产提高食品安全水平。打造1个全国一村一品示范村镇、2个国家级产业强镇、1个国家级现代农业产业园、2个国家级优势特色产业集群、1个国家级现代农产品加工园，培育1—2个农业产业化联合体，培育5—10个区域公用品牌、企业品牌和产品品牌。围绕打造全国生物医药产业基地的目标，力争到2025年，新建成投产医药制造项目10个，主营业务收入突破100亿元；培育10家以上具有核心竞争力的大型食品企业，围绕主导产业固链延链补链强链，实现三产融合，培育食品加工、医药化工和节能环保等百亿产业集群。</w:t>
      </w:r>
    </w:p>
    <w:p>
      <w:pPr>
        <w:keepNext w:val="0"/>
        <w:keepLines w:val="0"/>
        <w:pageBreakBefore w:val="0"/>
        <w:widowControl w:val="0"/>
        <w:numPr>
          <w:ilvl w:val="0"/>
          <w:numId w:val="0"/>
        </w:numPr>
        <w:kinsoku/>
        <w:wordWrap/>
        <w:overflowPunct/>
        <w:topLinePunct/>
        <w:autoSpaceDE/>
        <w:autoSpaceDN/>
        <w:bidi w:val="0"/>
        <w:adjustRightInd w:val="0"/>
        <w:snapToGrid w:val="0"/>
        <w:spacing w:beforeAutospacing="0" w:afterAutospacing="0" w:line="560" w:lineRule="exact"/>
        <w:ind w:left="0" w:right="0" w:firstLine="640" w:firstLineChars="200"/>
        <w:jc w:val="both"/>
        <w:textAlignment w:val="auto"/>
        <w:outlineLvl w:val="9"/>
        <w:rPr>
          <w:rFonts w:hint="eastAsia" w:ascii="仿宋_GB2312" w:hAnsi="仿宋_GB2312" w:eastAsia="仿宋_GB2312" w:cs="仿宋_GB2312"/>
          <w:color w:val="auto"/>
          <w:spacing w:val="0"/>
          <w:kern w:val="2"/>
          <w:sz w:val="32"/>
          <w:szCs w:val="32"/>
          <w:lang w:val="en-US" w:eastAsia="zh-CN"/>
        </w:rPr>
      </w:pPr>
      <w:bookmarkStart w:id="47" w:name="_Toc1687012717_WPSOffice_Level3"/>
      <w:r>
        <w:rPr>
          <w:rFonts w:hint="eastAsia" w:ascii="仿宋_GB2312" w:hAnsi="仿宋_GB2312" w:eastAsia="仿宋_GB2312" w:cs="仿宋_GB2312"/>
          <w:color w:val="auto"/>
          <w:spacing w:val="0"/>
          <w:kern w:val="2"/>
          <w:sz w:val="32"/>
          <w:szCs w:val="32"/>
          <w:lang w:val="en-US" w:eastAsia="zh-CN"/>
        </w:rPr>
        <w:t>4.开展现代服务业质量提升行动</w:t>
      </w:r>
      <w:bookmarkEnd w:id="47"/>
    </w:p>
    <w:p>
      <w:pPr>
        <w:keepNext w:val="0"/>
        <w:keepLines w:val="0"/>
        <w:pageBreakBefore w:val="0"/>
        <w:widowControl w:val="0"/>
        <w:numPr>
          <w:ilvl w:val="0"/>
          <w:numId w:val="0"/>
        </w:numPr>
        <w:kinsoku/>
        <w:wordWrap/>
        <w:overflowPunct/>
        <w:topLinePunct/>
        <w:autoSpaceDE/>
        <w:autoSpaceDN/>
        <w:bidi w:val="0"/>
        <w:adjustRightInd w:val="0"/>
        <w:snapToGrid w:val="0"/>
        <w:spacing w:beforeAutospacing="0" w:afterAutospacing="0" w:line="560" w:lineRule="exact"/>
        <w:ind w:left="0" w:right="0" w:firstLine="640" w:firstLineChars="200"/>
        <w:jc w:val="both"/>
        <w:textAlignment w:val="auto"/>
        <w:outlineLvl w:val="9"/>
        <w:rPr>
          <w:rFonts w:hint="eastAsia" w:ascii="仿宋_GB2312" w:hAnsi="仿宋_GB2312" w:eastAsia="仿宋_GB2312" w:cs="仿宋_GB2312"/>
          <w:b w:val="0"/>
          <w:bCs w:val="0"/>
          <w:color w:val="auto"/>
          <w:spacing w:val="0"/>
          <w:w w:val="102"/>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t>坚持生产性服务业扩量和生活性服务业提质并重，通过结构优化和载体建设，全面提升现代服务业发展质量和效益。</w:t>
      </w:r>
      <w:r>
        <w:rPr>
          <w:rFonts w:hint="eastAsia" w:ascii="仿宋_GB2312" w:hAnsi="仿宋_GB2312" w:eastAsia="仿宋_GB2312" w:cs="仿宋_GB2312"/>
          <w:b/>
          <w:bCs/>
          <w:color w:val="auto"/>
          <w:spacing w:val="0"/>
          <w:sz w:val="32"/>
          <w:szCs w:val="32"/>
        </w:rPr>
        <w:t>一是</w:t>
      </w:r>
      <w:r>
        <w:rPr>
          <w:rFonts w:hint="eastAsia" w:ascii="仿宋_GB2312" w:hAnsi="仿宋_GB2312" w:eastAsia="仿宋_GB2312" w:cs="仿宋_GB2312"/>
          <w:b w:val="0"/>
          <w:bCs w:val="0"/>
          <w:color w:val="auto"/>
          <w:spacing w:val="0"/>
          <w:sz w:val="32"/>
          <w:szCs w:val="32"/>
        </w:rPr>
        <w:t>着力发展现代物流业。围绕郑州国家级物流枢纽和新乡区域物流枢纽建设，依托G107、新菏铁路、菏宝高速、濮卫高速、安罗高速等交通便捷物流网，着力打造以现代物流为主，集商务服务、电子商务、农产品加工为一体的现代化综合物流专业园区，加快推进物流服务业专业化、信息化、网络化、规模化发展，推动郑延、新延物流一体化发展。</w:t>
      </w:r>
      <w:r>
        <w:rPr>
          <w:rFonts w:hint="eastAsia" w:ascii="仿宋_GB2312" w:hAnsi="仿宋_GB2312" w:eastAsia="仿宋_GB2312" w:cs="仿宋_GB2312"/>
          <w:b/>
          <w:bCs/>
          <w:color w:val="auto"/>
          <w:spacing w:val="0"/>
          <w:sz w:val="32"/>
          <w:szCs w:val="32"/>
          <w:lang w:eastAsia="zh-CN"/>
        </w:rPr>
        <w:t>二是</w:t>
      </w:r>
      <w:r>
        <w:rPr>
          <w:rFonts w:hint="eastAsia" w:ascii="仿宋_GB2312" w:hAnsi="仿宋_GB2312" w:eastAsia="仿宋_GB2312" w:cs="仿宋_GB2312"/>
          <w:b w:val="0"/>
          <w:bCs w:val="0"/>
          <w:color w:val="auto"/>
          <w:spacing w:val="0"/>
          <w:sz w:val="32"/>
          <w:szCs w:val="32"/>
        </w:rPr>
        <w:t>加快发展传统服务业。充分挖掘农业文化，拓展农业功能，借助“农业+”“旅游+”“生态+”“互联网+”多业态发展模式，打造以三农发展为核心，一二三产业融合，生产、生活、生态三生同步，农业、文化、旅游三位一体的新兴乡村旅游观光带，打造产业特色鲜明、人文气息浓厚、生态环境优美的特色小镇。</w:t>
      </w:r>
      <w:r>
        <w:rPr>
          <w:rFonts w:hint="eastAsia" w:ascii="仿宋_GB2312" w:hAnsi="仿宋_GB2312" w:eastAsia="仿宋_GB2312" w:cs="仿宋_GB2312"/>
          <w:b/>
          <w:bCs/>
          <w:color w:val="auto"/>
          <w:spacing w:val="0"/>
          <w:sz w:val="32"/>
          <w:szCs w:val="32"/>
          <w:lang w:eastAsia="zh-CN"/>
        </w:rPr>
        <w:t>三是</w:t>
      </w:r>
      <w:r>
        <w:rPr>
          <w:rFonts w:hint="eastAsia" w:ascii="仿宋_GB2312" w:hAnsi="仿宋_GB2312" w:eastAsia="仿宋_GB2312" w:cs="仿宋_GB2312"/>
          <w:b w:val="0"/>
          <w:bCs w:val="0"/>
          <w:color w:val="auto"/>
          <w:spacing w:val="0"/>
          <w:sz w:val="32"/>
          <w:szCs w:val="32"/>
        </w:rPr>
        <w:t>积极推动其他服务业发展。完善河南省小麦面制品检测检验中心功能，为小麦加工、食品产业提质增效提供技术服务；推进教育培训、人力资源、技术咨询、测绘评估、软件开发、信息服务等其他服务发展。推动生活性服务业向高品质和多样化升级，支持科技服务、创意设计、商务咨询、环保服务等新兴服务业的引进和发展，推进服务业数字化、标准化、品牌化发展，培育新的增长点。</w:t>
      </w:r>
      <w:r>
        <w:rPr>
          <w:rFonts w:hint="eastAsia" w:ascii="仿宋_GB2312" w:hAnsi="仿宋_GB2312" w:eastAsia="仿宋_GB2312" w:cs="仿宋_GB2312"/>
          <w:b/>
          <w:bCs/>
          <w:color w:val="auto"/>
          <w:spacing w:val="0"/>
          <w:sz w:val="32"/>
          <w:szCs w:val="32"/>
          <w:lang w:eastAsia="zh-CN"/>
        </w:rPr>
        <w:t>四是</w:t>
      </w:r>
      <w:r>
        <w:rPr>
          <w:rFonts w:hint="eastAsia" w:ascii="仿宋_GB2312" w:hAnsi="仿宋_GB2312" w:eastAsia="仿宋_GB2312" w:cs="仿宋_GB2312"/>
          <w:b w:val="0"/>
          <w:bCs w:val="0"/>
          <w:color w:val="auto"/>
          <w:spacing w:val="0"/>
          <w:sz w:val="32"/>
          <w:szCs w:val="32"/>
        </w:rPr>
        <w:t>培育科技服务业。</w:t>
      </w:r>
      <w:r>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t>抢抓国家在新基建领域加大投入的政策机遇，加快推进5G基站、工业互联网、新能源汽车充电桩等基础设施建设，</w:t>
      </w:r>
      <w:r>
        <w:rPr>
          <w:rFonts w:hint="eastAsia" w:ascii="仿宋_GB2312" w:hAnsi="仿宋_GB2312" w:eastAsia="仿宋_GB2312" w:cs="仿宋_GB2312"/>
          <w:b w:val="0"/>
          <w:bCs w:val="0"/>
          <w:color w:val="auto"/>
          <w:spacing w:val="0"/>
          <w:sz w:val="32"/>
          <w:szCs w:val="32"/>
        </w:rPr>
        <w:t>实施“宽带延津”、“智慧延津”等工程，</w:t>
      </w:r>
      <w:r>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t>推动“5G+智能制造、5G+智慧城市、5G+医疗健康、5G+智能教育、5G+现代农业、5G+现代服务业”等领域场景应用。加快电商物流、冷链物流、快递物流等产业发展，推进跨境电子商务、人才培养和企业孵化平台建设，设立电商区域总部，建设“延津电商产业带”。到“十四五”末，新增省级重点物流企业3家，市级重点物流企业10家，培育A级以上物流企业3家；建设基站959个，实现县域5G网络全覆盖。推动生活性服务业向高品质和多样化。</w:t>
      </w:r>
    </w:p>
    <w:p>
      <w:pPr>
        <w:keepNext w:val="0"/>
        <w:keepLines w:val="0"/>
        <w:pageBreakBefore w:val="0"/>
        <w:widowControl w:val="0"/>
        <w:numPr>
          <w:ilvl w:val="0"/>
          <w:numId w:val="0"/>
        </w:numPr>
        <w:kinsoku/>
        <w:wordWrap/>
        <w:overflowPunct/>
        <w:topLinePunct/>
        <w:autoSpaceDE/>
        <w:autoSpaceDN/>
        <w:bidi w:val="0"/>
        <w:adjustRightInd w:val="0"/>
        <w:snapToGrid w:val="0"/>
        <w:spacing w:beforeAutospacing="0" w:afterAutospacing="0" w:line="560" w:lineRule="exact"/>
        <w:ind w:left="0" w:right="0" w:firstLine="640" w:firstLineChars="200"/>
        <w:jc w:val="both"/>
        <w:textAlignment w:val="auto"/>
        <w:outlineLvl w:val="9"/>
        <w:rPr>
          <w:rFonts w:hint="eastAsia" w:ascii="仿宋_GB2312" w:hAnsi="仿宋_GB2312" w:eastAsia="仿宋_GB2312" w:cs="仿宋_GB2312"/>
          <w:b w:val="0"/>
          <w:bCs w:val="0"/>
          <w:color w:val="auto"/>
          <w:spacing w:val="0"/>
          <w:sz w:val="32"/>
          <w:szCs w:val="32"/>
          <w:lang w:eastAsia="zh-CN"/>
        </w:rPr>
      </w:pPr>
      <w:bookmarkStart w:id="48" w:name="_Toc1277016510_WPSOffice_Level3"/>
      <w:r>
        <w:rPr>
          <w:rFonts w:hint="eastAsia" w:ascii="仿宋_GB2312" w:hAnsi="仿宋_GB2312" w:eastAsia="仿宋_GB2312" w:cs="仿宋_GB2312"/>
          <w:b w:val="0"/>
          <w:bCs w:val="0"/>
          <w:color w:val="auto"/>
          <w:spacing w:val="0"/>
          <w:sz w:val="32"/>
          <w:szCs w:val="32"/>
          <w:lang w:val="en-US" w:eastAsia="zh-CN"/>
        </w:rPr>
        <w:t>5.</w:t>
      </w:r>
      <w:r>
        <w:rPr>
          <w:rFonts w:hint="eastAsia" w:ascii="仿宋_GB2312" w:hAnsi="仿宋_GB2312" w:eastAsia="仿宋_GB2312" w:cs="仿宋_GB2312"/>
          <w:b w:val="0"/>
          <w:bCs w:val="0"/>
          <w:color w:val="auto"/>
          <w:spacing w:val="0"/>
          <w:sz w:val="32"/>
          <w:szCs w:val="32"/>
        </w:rPr>
        <w:t>开展工程质量提升行动</w:t>
      </w:r>
      <w:bookmarkEnd w:id="48"/>
    </w:p>
    <w:p>
      <w:pPr>
        <w:keepNext w:val="0"/>
        <w:keepLines w:val="0"/>
        <w:pageBreakBefore w:val="0"/>
        <w:widowControl w:val="0"/>
        <w:numPr>
          <w:ilvl w:val="0"/>
          <w:numId w:val="0"/>
        </w:numPr>
        <w:kinsoku/>
        <w:wordWrap/>
        <w:overflowPunct/>
        <w:topLinePunct/>
        <w:autoSpaceDE/>
        <w:autoSpaceDN/>
        <w:bidi w:val="0"/>
        <w:adjustRightInd w:val="0"/>
        <w:snapToGrid w:val="0"/>
        <w:spacing w:beforeAutospacing="0" w:afterAutospacing="0" w:line="560" w:lineRule="exact"/>
        <w:ind w:left="0" w:right="0" w:firstLine="640" w:firstLineChars="200"/>
        <w:jc w:val="both"/>
        <w:textAlignment w:val="auto"/>
        <w:outlineLvl w:val="9"/>
        <w:rPr>
          <w:rFonts w:hint="eastAsia" w:ascii="仿宋_GB2312" w:hAnsi="仿宋_GB2312" w:eastAsia="仿宋_GB2312" w:cs="仿宋_GB2312"/>
          <w:b w:val="0"/>
          <w:bCs w:val="0"/>
          <w:color w:val="auto"/>
          <w:spacing w:val="0"/>
          <w:sz w:val="32"/>
          <w:szCs w:val="32"/>
        </w:rPr>
      </w:pPr>
      <w:r>
        <w:rPr>
          <w:rFonts w:hint="eastAsia" w:ascii="仿宋_GB2312" w:hAnsi="仿宋_GB2312" w:eastAsia="仿宋_GB2312" w:cs="仿宋_GB2312"/>
          <w:b w:val="0"/>
          <w:bCs w:val="0"/>
          <w:color w:val="auto"/>
          <w:spacing w:val="0"/>
          <w:sz w:val="32"/>
          <w:szCs w:val="32"/>
        </w:rPr>
        <w:t xml:space="preserve">推行建筑施工安全生产标准化考评制度，优化质量管理标准化示范工地评选机制，提升建筑工程参建各方质量意识。完善全过程质量控制体系。创新建筑方案 </w:t>
      </w:r>
      <w:r>
        <w:rPr>
          <w:rFonts w:hint="eastAsia" w:ascii="仿宋_GB2312" w:hAnsi="仿宋_GB2312" w:eastAsia="仿宋_GB2312" w:cs="仿宋_GB2312"/>
          <w:b w:val="0"/>
          <w:bCs w:val="0"/>
          <w:color w:val="auto"/>
          <w:spacing w:val="0"/>
          <w:sz w:val="32"/>
          <w:szCs w:val="32"/>
          <w:lang w:eastAsia="zh-CN"/>
        </w:rPr>
        <w:t>，</w:t>
      </w:r>
      <w:r>
        <w:rPr>
          <w:rFonts w:hint="eastAsia" w:ascii="仿宋_GB2312" w:hAnsi="仿宋_GB2312" w:eastAsia="仿宋_GB2312" w:cs="仿宋_GB2312"/>
          <w:b w:val="0"/>
          <w:bCs w:val="0"/>
          <w:color w:val="auto"/>
          <w:spacing w:val="0"/>
          <w:sz w:val="32"/>
          <w:szCs w:val="32"/>
        </w:rPr>
        <w:t>设计优选制度，提升勘察设计质量，打造建筑精品。大力推广绿色设计、绿色施工、绿色建材，推动建筑节能改造和可再生能源利用。工程质量水平进一 步提升，全市报建工程监督覆盖率、受监工程竣工合格率、新开工工程节能标准执行率、“两书 一牌”制度推行覆盖率均达100%。</w:t>
      </w:r>
    </w:p>
    <w:p>
      <w:pPr>
        <w:keepNext w:val="0"/>
        <w:keepLines w:val="0"/>
        <w:pageBreakBefore w:val="0"/>
        <w:widowControl w:val="0"/>
        <w:numPr>
          <w:ilvl w:val="0"/>
          <w:numId w:val="0"/>
        </w:numPr>
        <w:kinsoku/>
        <w:wordWrap/>
        <w:overflowPunct/>
        <w:topLinePunct/>
        <w:autoSpaceDE/>
        <w:autoSpaceDN/>
        <w:bidi w:val="0"/>
        <w:adjustRightInd w:val="0"/>
        <w:snapToGrid w:val="0"/>
        <w:spacing w:beforeAutospacing="0" w:afterAutospacing="0" w:line="560" w:lineRule="exact"/>
        <w:ind w:left="0" w:right="0" w:firstLine="640" w:firstLineChars="200"/>
        <w:jc w:val="both"/>
        <w:textAlignment w:val="auto"/>
        <w:outlineLvl w:val="9"/>
        <w:rPr>
          <w:rFonts w:hint="eastAsia" w:ascii="仿宋_GB2312" w:hAnsi="仿宋_GB2312" w:eastAsia="仿宋_GB2312" w:cs="仿宋_GB2312"/>
          <w:color w:val="auto"/>
          <w:spacing w:val="0"/>
          <w:sz w:val="32"/>
          <w:szCs w:val="32"/>
          <w:highlight w:val="none"/>
          <w:lang w:eastAsia="zh-CN"/>
        </w:rPr>
      </w:pPr>
      <w:bookmarkStart w:id="49" w:name="_Toc531966739_WPSOffice_Level3"/>
      <w:r>
        <w:rPr>
          <w:rFonts w:hint="eastAsia" w:ascii="仿宋_GB2312" w:hAnsi="仿宋_GB2312" w:eastAsia="仿宋_GB2312" w:cs="仿宋_GB2312"/>
          <w:color w:val="auto"/>
          <w:spacing w:val="0"/>
          <w:sz w:val="32"/>
          <w:szCs w:val="32"/>
          <w:highlight w:val="none"/>
          <w:lang w:val="en-US" w:eastAsia="zh-CN"/>
        </w:rPr>
        <w:t>6.</w:t>
      </w:r>
      <w:r>
        <w:rPr>
          <w:rFonts w:hint="eastAsia" w:ascii="仿宋_GB2312" w:hAnsi="仿宋_GB2312" w:eastAsia="仿宋_GB2312" w:cs="仿宋_GB2312"/>
          <w:color w:val="auto"/>
          <w:spacing w:val="0"/>
          <w:sz w:val="32"/>
          <w:szCs w:val="32"/>
          <w:highlight w:val="none"/>
        </w:rPr>
        <w:t>开展文化和旅游质量提升行动</w:t>
      </w:r>
      <w:bookmarkEnd w:id="49"/>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spacing w:beforeAutospacing="0" w:afterAutospacing="0" w:line="560" w:lineRule="exact"/>
        <w:ind w:left="0" w:right="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kern w:val="0"/>
          <w:sz w:val="32"/>
          <w:szCs w:val="32"/>
          <w:lang w:val="en-US" w:eastAsia="zh-CN" w:bidi="ar"/>
        </w:rPr>
        <w:t>延津人文资源丰厚，民风淳朴善良，曾连续六年蝉联全省平安建设先进县，荣获河南省平安建设最高奖“中原平安杯”，凝聚了强大发展正能量，为文化和旅游质量提升注入了新活力</w:t>
      </w:r>
      <w:r>
        <w:rPr>
          <w:rFonts w:hint="eastAsia" w:ascii="仿宋_GB2312" w:hAnsi="仿宋_GB2312" w:eastAsia="仿宋_GB2312" w:cs="仿宋_GB2312"/>
          <w:b w:val="0"/>
          <w:bCs w:val="0"/>
          <w:color w:val="auto"/>
          <w:spacing w:val="0"/>
          <w:kern w:val="0"/>
          <w:sz w:val="32"/>
          <w:szCs w:val="32"/>
          <w:lang w:val="en-US" w:eastAsia="zh-CN" w:bidi="ar"/>
        </w:rPr>
        <w:t>。</w:t>
      </w:r>
      <w:r>
        <w:rPr>
          <w:rFonts w:hint="eastAsia" w:ascii="仿宋_GB2312" w:hAnsi="仿宋_GB2312" w:eastAsia="仿宋_GB2312" w:cs="仿宋_GB2312"/>
          <w:b/>
          <w:bCs/>
          <w:i w:val="0"/>
          <w:iCs w:val="0"/>
          <w:caps w:val="0"/>
          <w:color w:val="auto"/>
          <w:spacing w:val="0"/>
          <w:kern w:val="0"/>
          <w:sz w:val="32"/>
          <w:szCs w:val="32"/>
          <w:shd w:val="clear" w:fill="FFFFFF"/>
          <w:lang w:val="en-US" w:eastAsia="zh-CN" w:bidi="ar"/>
        </w:rPr>
        <w:t>一是</w:t>
      </w:r>
      <w:r>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t>做大文化体验游。</w:t>
      </w:r>
      <w:r>
        <w:rPr>
          <w:rFonts w:hint="eastAsia" w:ascii="仿宋_GB2312" w:hAnsi="仿宋_GB2312" w:eastAsia="仿宋_GB2312" w:cs="仿宋_GB2312"/>
          <w:b w:val="0"/>
          <w:bCs w:val="0"/>
          <w:color w:val="auto"/>
          <w:spacing w:val="0"/>
          <w:sz w:val="32"/>
          <w:szCs w:val="32"/>
        </w:rPr>
        <w:t>挖掘具有黄河故道文化内涵的历史文化资源，重点保护和开</w:t>
      </w:r>
      <w:r>
        <w:rPr>
          <w:rFonts w:hint="eastAsia" w:ascii="仿宋_GB2312" w:hAnsi="仿宋_GB2312" w:eastAsia="仿宋_GB2312" w:cs="仿宋_GB2312"/>
          <w:color w:val="auto"/>
          <w:spacing w:val="0"/>
          <w:sz w:val="32"/>
          <w:szCs w:val="32"/>
        </w:rPr>
        <w:t>发利用沙门城址（吴起城）、太平天国英王陈玉成就义纪念地等历史故事、人物遗址，广泛宣传延津历史文化。以延浚汲淇四县边抗日办事处旧址、野厂抗日根据地、革命烈士纪念塔等资源为载体，弘扬红色文化。开展非物质文化遗产普查工作，深入挖掘优秀非物质文化遗产，重点开展国家级、省级、市级非物质文化遗产项目“大平调”、“二夹弦”、“官渡之战在延津的故事”、“延津火烧”等的保护和传承工作。</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进一步丰富历史文化内涵，为旅游业发展提供强有力的支撑。</w:t>
      </w:r>
      <w:r>
        <w:rPr>
          <w:rFonts w:hint="eastAsia" w:ascii="仿宋_GB2312" w:hAnsi="仿宋_GB2312" w:eastAsia="仿宋_GB2312" w:cs="仿宋_GB2312"/>
          <w:b/>
          <w:bCs/>
          <w:i w:val="0"/>
          <w:iCs w:val="0"/>
          <w:caps w:val="0"/>
          <w:color w:val="auto"/>
          <w:spacing w:val="0"/>
          <w:kern w:val="0"/>
          <w:sz w:val="32"/>
          <w:szCs w:val="32"/>
          <w:highlight w:val="none"/>
          <w:shd w:val="clear" w:fill="FFFFFF"/>
          <w:lang w:val="en-US" w:eastAsia="zh-CN" w:bidi="ar"/>
        </w:rPr>
        <w:t>二是</w:t>
      </w:r>
      <w:r>
        <w:rPr>
          <w:rFonts w:hint="eastAsia" w:ascii="仿宋_GB2312" w:hAnsi="仿宋_GB2312" w:eastAsia="仿宋_GB2312" w:cs="仿宋_GB2312"/>
          <w:b w:val="0"/>
          <w:bCs w:val="0"/>
          <w:i w:val="0"/>
          <w:iCs w:val="0"/>
          <w:caps w:val="0"/>
          <w:color w:val="auto"/>
          <w:spacing w:val="0"/>
          <w:kern w:val="0"/>
          <w:sz w:val="32"/>
          <w:szCs w:val="32"/>
          <w:highlight w:val="none"/>
          <w:shd w:val="clear" w:fill="FFFFFF"/>
          <w:lang w:val="en-US" w:eastAsia="zh-CN" w:bidi="ar"/>
        </w:rPr>
        <w:t>做强特色乡村旅游。</w:t>
      </w:r>
      <w:r>
        <w:rPr>
          <w:rFonts w:hint="eastAsia" w:ascii="仿宋_GB2312" w:hAnsi="仿宋_GB2312" w:eastAsia="仿宋_GB2312" w:cs="仿宋_GB2312"/>
          <w:b w:val="0"/>
          <w:bCs w:val="0"/>
          <w:color w:val="auto"/>
          <w:spacing w:val="0"/>
          <w:sz w:val="32"/>
          <w:szCs w:val="32"/>
        </w:rPr>
        <w:t>建设特色小镇和田园综合体</w:t>
      </w:r>
      <w:r>
        <w:rPr>
          <w:rFonts w:hint="eastAsia" w:ascii="仿宋_GB2312" w:hAnsi="仿宋_GB2312" w:eastAsia="仿宋_GB2312" w:cs="仿宋_GB2312"/>
          <w:b w:val="0"/>
          <w:bCs w:val="0"/>
          <w:color w:val="auto"/>
          <w:spacing w:val="0"/>
          <w:sz w:val="32"/>
          <w:szCs w:val="32"/>
          <w:lang w:eastAsia="zh-CN"/>
        </w:rPr>
        <w:t>，</w:t>
      </w:r>
      <w:r>
        <w:rPr>
          <w:rFonts w:hint="eastAsia" w:ascii="仿宋_GB2312" w:hAnsi="仿宋_GB2312" w:eastAsia="仿宋_GB2312" w:cs="仿宋_GB2312"/>
          <w:b w:val="0"/>
          <w:bCs w:val="0"/>
          <w:color w:val="auto"/>
          <w:spacing w:val="0"/>
          <w:sz w:val="32"/>
          <w:szCs w:val="32"/>
        </w:rPr>
        <w:t>充分挖掘城镇自身经济、文化、生态等特色资源，推进田园综合体建设，建设高附加值农业示范区和乡村文化体验公园，打造一批设施完备、功能多样的休闲观光园区、康养基地、乡村民宿，发展休闲养生、文化娱乐、休闲观光业。</w:t>
      </w:r>
      <w:r>
        <w:rPr>
          <w:rFonts w:hint="eastAsia" w:ascii="仿宋_GB2312" w:hAnsi="仿宋_GB2312" w:eastAsia="仿宋_GB2312" w:cs="仿宋_GB2312"/>
          <w:b/>
          <w:bCs/>
          <w:color w:val="auto"/>
          <w:spacing w:val="0"/>
          <w:sz w:val="32"/>
          <w:szCs w:val="32"/>
          <w:highlight w:val="none"/>
          <w:lang w:eastAsia="zh-CN"/>
        </w:rPr>
        <w:t>三是</w:t>
      </w:r>
      <w:r>
        <w:rPr>
          <w:rFonts w:hint="eastAsia" w:ascii="仿宋_GB2312" w:hAnsi="仿宋_GB2312" w:eastAsia="仿宋_GB2312" w:cs="仿宋_GB2312"/>
          <w:b w:val="0"/>
          <w:bCs w:val="0"/>
          <w:color w:val="auto"/>
          <w:spacing w:val="0"/>
          <w:sz w:val="32"/>
          <w:szCs w:val="32"/>
          <w:highlight w:val="none"/>
        </w:rPr>
        <w:t>传承黄河故道文化。</w:t>
      </w:r>
      <w:r>
        <w:rPr>
          <w:rFonts w:hint="eastAsia" w:ascii="仿宋_GB2312" w:hAnsi="仿宋_GB2312" w:eastAsia="仿宋_GB2312" w:cs="仿宋_GB2312"/>
          <w:color w:val="auto"/>
          <w:spacing w:val="0"/>
          <w:sz w:val="32"/>
          <w:szCs w:val="32"/>
          <w:highlight w:val="none"/>
        </w:rPr>
        <w:t>加快黄河故道文化遗产保护，推进实施沙门城址历史文化公园，讲好黄河故道故事，推动黄河故道农耕文化传承和创新，延续黄河故道历史文脉；加强黄河流域历史文化名镇名村保护，大力塑造黄河故道文化名片。推进广唐寺白马塔、大觉寺等历史文物保护和修缮，依托塔铺白马塔、刘震云《塔铺》、延浚汲淇四县边抗日办事处等历史文物、文学作品，谋划推进塔铺文旅小镇、王楼“电影小镇”、石婆固户外休闲小镇、马庄红色教育基地、乌巢遗址公园等项目，构建黄河故道文化保护利用和展示的网络体系，促进黄河故道文化繁荣。</w:t>
      </w:r>
      <w:r>
        <w:rPr>
          <w:rFonts w:hint="eastAsia" w:ascii="仿宋_GB2312" w:hAnsi="仿宋_GB2312" w:eastAsia="仿宋_GB2312" w:cs="仿宋_GB2312"/>
          <w:b/>
          <w:bCs/>
          <w:color w:val="auto"/>
          <w:spacing w:val="0"/>
          <w:sz w:val="32"/>
          <w:szCs w:val="32"/>
          <w:highlight w:val="none"/>
          <w:lang w:eastAsia="zh-CN"/>
        </w:rPr>
        <w:t>四是</w:t>
      </w:r>
      <w:r>
        <w:rPr>
          <w:rFonts w:hint="eastAsia" w:ascii="仿宋_GB2312" w:hAnsi="仿宋_GB2312" w:eastAsia="仿宋_GB2312" w:cs="仿宋_GB2312"/>
          <w:b w:val="0"/>
          <w:bCs w:val="0"/>
          <w:color w:val="auto"/>
          <w:spacing w:val="0"/>
          <w:sz w:val="32"/>
          <w:szCs w:val="32"/>
          <w:highlight w:val="none"/>
          <w:lang w:eastAsia="zh-CN"/>
        </w:rPr>
        <w:t>打造文化品牌</w:t>
      </w:r>
      <w:r>
        <w:rPr>
          <w:rFonts w:hint="eastAsia" w:ascii="仿宋_GB2312" w:hAnsi="仿宋_GB2312" w:eastAsia="仿宋_GB2312" w:cs="仿宋_GB2312"/>
          <w:b w:val="0"/>
          <w:bCs w:val="0"/>
          <w:color w:val="auto"/>
          <w:spacing w:val="0"/>
          <w:sz w:val="32"/>
          <w:szCs w:val="32"/>
          <w:highlight w:val="none"/>
        </w:rPr>
        <w:t>。</w:t>
      </w:r>
      <w:r>
        <w:rPr>
          <w:rFonts w:hint="eastAsia" w:ascii="仿宋_GB2312" w:hAnsi="仿宋_GB2312" w:eastAsia="仿宋_GB2312" w:cs="仿宋_GB2312"/>
          <w:b w:val="0"/>
          <w:bCs w:val="0"/>
          <w:color w:val="auto"/>
          <w:spacing w:val="0"/>
          <w:sz w:val="32"/>
          <w:szCs w:val="32"/>
        </w:rPr>
        <w:t>积极推进公共图书馆、文化馆等公共文化设施建设，解决公共阅读服务最后一公里问题，倡导全民阅读，建设书香延津。加快完善基层综合性文化设施条件，调整优化基层文化惠民工程。全面推进智慧广电服务网络建设，提高广播电视公共服务水平。推进红色旅游、乡村旅游、春满槐乡等地方特色文化品牌，打造黄河故道文化特色品牌。</w:t>
      </w:r>
      <w:r>
        <w:rPr>
          <w:rFonts w:hint="eastAsia" w:ascii="仿宋_GB2312" w:hAnsi="仿宋_GB2312" w:eastAsia="仿宋_GB2312" w:cs="仿宋_GB2312"/>
          <w:b/>
          <w:bCs/>
          <w:i w:val="0"/>
          <w:iCs w:val="0"/>
          <w:caps w:val="0"/>
          <w:color w:val="auto"/>
          <w:spacing w:val="0"/>
          <w:kern w:val="0"/>
          <w:sz w:val="32"/>
          <w:szCs w:val="32"/>
          <w:shd w:val="clear" w:fill="FFFFFF"/>
          <w:lang w:val="en-US" w:eastAsia="zh-CN" w:bidi="ar"/>
        </w:rPr>
        <w:t>五是</w:t>
      </w:r>
      <w:r>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t>丰富提升基础性服务业。发展育幼、家政等公益性、基础性服务业，促进政府公共服务、</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居民互助服务、商业性便民利民服务向社区覆盖，满足人民群众品质生活需要。支持一批家政龙头企业连锁化、品牌化发展，推进服务业标准化、品牌化建设。加快建设星级酒店和经济型酒店及大型停车场，配套旅游业发展。</w:t>
      </w:r>
    </w:p>
    <w:p>
      <w:pPr>
        <w:keepNext w:val="0"/>
        <w:keepLines w:val="0"/>
        <w:pageBreakBefore w:val="0"/>
        <w:widowControl w:val="0"/>
        <w:numPr>
          <w:ilvl w:val="0"/>
          <w:numId w:val="0"/>
        </w:numPr>
        <w:kinsoku/>
        <w:wordWrap/>
        <w:overflowPunct/>
        <w:topLinePunct/>
        <w:autoSpaceDE/>
        <w:autoSpaceDN/>
        <w:bidi w:val="0"/>
        <w:adjustRightInd w:val="0"/>
        <w:snapToGrid w:val="0"/>
        <w:spacing w:beforeAutospacing="0" w:afterAutospacing="0" w:line="560" w:lineRule="exact"/>
        <w:ind w:left="0" w:right="0" w:firstLine="640" w:firstLineChars="200"/>
        <w:jc w:val="both"/>
        <w:textAlignment w:val="auto"/>
        <w:outlineLvl w:val="9"/>
        <w:rPr>
          <w:rFonts w:hint="eastAsia" w:ascii="仿宋_GB2312" w:hAnsi="仿宋_GB2312" w:eastAsia="仿宋_GB2312" w:cs="仿宋_GB2312"/>
          <w:color w:val="auto"/>
          <w:spacing w:val="0"/>
          <w:sz w:val="32"/>
          <w:szCs w:val="32"/>
          <w:lang w:eastAsia="zh-CN"/>
        </w:rPr>
      </w:pPr>
      <w:bookmarkStart w:id="50" w:name="_Toc1948063019_WPSOffice_Level3"/>
      <w:r>
        <w:rPr>
          <w:rFonts w:hint="eastAsia" w:ascii="仿宋_GB2312" w:hAnsi="仿宋_GB2312" w:eastAsia="仿宋_GB2312" w:cs="仿宋_GB2312"/>
          <w:color w:val="auto"/>
          <w:spacing w:val="0"/>
          <w:sz w:val="32"/>
          <w:szCs w:val="32"/>
          <w:lang w:val="en-US" w:eastAsia="zh-CN"/>
        </w:rPr>
        <w:t>7.</w:t>
      </w:r>
      <w:r>
        <w:rPr>
          <w:rFonts w:hint="eastAsia" w:ascii="仿宋_GB2312" w:hAnsi="仿宋_GB2312" w:eastAsia="仿宋_GB2312" w:cs="仿宋_GB2312"/>
          <w:color w:val="auto"/>
          <w:spacing w:val="0"/>
          <w:sz w:val="32"/>
          <w:szCs w:val="32"/>
        </w:rPr>
        <w:t>开展城市建设管理质量提升行动</w:t>
      </w:r>
      <w:bookmarkEnd w:id="50"/>
    </w:p>
    <w:p>
      <w:pPr>
        <w:keepNext w:val="0"/>
        <w:keepLines w:val="0"/>
        <w:pageBreakBefore w:val="0"/>
        <w:widowControl w:val="0"/>
        <w:numPr>
          <w:ilvl w:val="0"/>
          <w:numId w:val="0"/>
        </w:numPr>
        <w:kinsoku/>
        <w:wordWrap/>
        <w:overflowPunct/>
        <w:topLinePunct/>
        <w:autoSpaceDE/>
        <w:autoSpaceDN/>
        <w:bidi w:val="0"/>
        <w:adjustRightInd w:val="0"/>
        <w:snapToGrid w:val="0"/>
        <w:spacing w:beforeAutospacing="0" w:afterAutospacing="0" w:line="560" w:lineRule="exact"/>
        <w:ind w:left="0" w:right="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坚持以人为核心的新型城镇化，优化完善城市空间结构，全面提升发展能级，提高城市治理现代化水平，打造富有辐射力影响力带动力的生态魅力城市。</w:t>
      </w:r>
      <w:r>
        <w:rPr>
          <w:rFonts w:hint="eastAsia" w:ascii="仿宋_GB2312" w:hAnsi="仿宋_GB2312" w:eastAsia="仿宋_GB2312" w:cs="仿宋_GB2312"/>
          <w:b/>
          <w:bCs/>
          <w:color w:val="auto"/>
          <w:spacing w:val="0"/>
          <w:sz w:val="32"/>
          <w:szCs w:val="32"/>
          <w:lang w:eastAsia="zh-CN"/>
        </w:rPr>
        <w:t>一是</w:t>
      </w:r>
      <w:r>
        <w:rPr>
          <w:rFonts w:hint="eastAsia" w:ascii="仿宋_GB2312" w:hAnsi="仿宋_GB2312" w:eastAsia="仿宋_GB2312" w:cs="仿宋_GB2312"/>
          <w:color w:val="auto"/>
          <w:spacing w:val="0"/>
          <w:sz w:val="32"/>
          <w:szCs w:val="32"/>
        </w:rPr>
        <w:t>完成《主城区控制性详细规划》、新乡森林城规划、17个省市重点村庄规划的编制工作，启动《延津县国土空间总体规划》编制，规划体系不断完善。深入推进百城建设提质工程，“一河两路”、新区湖、水系连通和新区路网等项目相继开工，新区发展空间进一步拓展。实施金蚂蚁平安府、美好生活家园等一批房地产开发项目；完成4个老旧小区改造、1309户农房抗震改造和35.8万平方米既有建筑节能改造，群众居住品质进一步提升。长青生物质热电联产项目顺利投入运营，新增供热面积20万平方米。改造提升城区垃圾中转站4座、公厕16座。深化“城管+大数据”精准管理模式，建成餐饮油烟、渣土车、清扫保洁智能监控系统，城市管理智能化水平进一步提升。扎实做好境内高速公路建设协调保障、干线公路和农村公路日常管护，G107顺利通车，县域交通通达度进一步提升。</w:t>
      </w:r>
      <w:r>
        <w:rPr>
          <w:rFonts w:hint="eastAsia" w:ascii="仿宋_GB2312" w:hAnsi="仿宋_GB2312" w:eastAsia="仿宋_GB2312" w:cs="仿宋_GB2312"/>
          <w:b/>
          <w:bCs/>
          <w:i w:val="0"/>
          <w:iCs w:val="0"/>
          <w:caps w:val="0"/>
          <w:color w:val="auto"/>
          <w:spacing w:val="0"/>
          <w:kern w:val="0"/>
          <w:sz w:val="32"/>
          <w:szCs w:val="32"/>
          <w:shd w:val="clear" w:fill="FFFFFF"/>
          <w:lang w:val="en-US" w:eastAsia="zh-CN" w:bidi="ar"/>
        </w:rPr>
        <w:t>二是</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深入实施百城建设提质工程，统筹推进新区开发和旧城更新，加强城镇老旧小区改造和社区建设，</w:t>
      </w:r>
      <w:r>
        <w:rPr>
          <w:rFonts w:hint="eastAsia" w:ascii="仿宋_GB2312" w:hAnsi="仿宋_GB2312" w:eastAsia="仿宋_GB2312" w:cs="仿宋_GB2312"/>
          <w:i w:val="0"/>
          <w:iCs w:val="0"/>
          <w:caps w:val="0"/>
          <w:color w:val="auto"/>
          <w:spacing w:val="0"/>
          <w:sz w:val="32"/>
          <w:szCs w:val="32"/>
          <w:shd w:val="clear" w:fill="FFFFFF"/>
        </w:rPr>
        <w:t>完成“一河两路”、新区湖、南北连通渠，拓展新区发展空间，加强新区土地一二级联动开发，打造新区发展亮点。着力补齐城市公共服务短板，实施生态水系改造提升，</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开展窨井盖专项治理，完善基础设施和公共服务，增强集聚发展能力。</w:t>
      </w:r>
      <w:r>
        <w:rPr>
          <w:rFonts w:hint="eastAsia" w:ascii="仿宋_GB2312" w:hAnsi="仿宋_GB2312" w:eastAsia="仿宋_GB2312" w:cs="仿宋_GB2312"/>
          <w:i w:val="0"/>
          <w:iCs w:val="0"/>
          <w:caps w:val="0"/>
          <w:color w:val="auto"/>
          <w:spacing w:val="0"/>
          <w:sz w:val="32"/>
          <w:szCs w:val="32"/>
          <w:shd w:val="clear" w:fill="FFFFFF"/>
        </w:rPr>
        <w:t>完成迎宾大道、新长南线绿化提升和5条老城区道路改造，新增城市游园6个。完成智慧停车场建设。</w:t>
      </w:r>
      <w:r>
        <w:rPr>
          <w:rFonts w:hint="eastAsia" w:ascii="仿宋_GB2312" w:hAnsi="仿宋_GB2312" w:eastAsia="仿宋_GB2312" w:cs="仿宋_GB2312"/>
          <w:b/>
          <w:bCs/>
          <w:color w:val="auto"/>
          <w:spacing w:val="0"/>
          <w:sz w:val="32"/>
          <w:szCs w:val="32"/>
          <w:lang w:eastAsia="zh-CN"/>
        </w:rPr>
        <w:t>三是</w:t>
      </w:r>
      <w:r>
        <w:rPr>
          <w:rFonts w:hint="eastAsia" w:ascii="仿宋_GB2312" w:hAnsi="仿宋_GB2312" w:eastAsia="仿宋_GB2312" w:cs="仿宋_GB2312"/>
          <w:b w:val="0"/>
          <w:bCs w:val="0"/>
          <w:color w:val="auto"/>
          <w:spacing w:val="0"/>
          <w:sz w:val="32"/>
          <w:szCs w:val="32"/>
        </w:rPr>
        <w:t>打造新延一体化产业带。</w:t>
      </w:r>
      <w:r>
        <w:rPr>
          <w:rFonts w:hint="eastAsia" w:ascii="仿宋_GB2312" w:hAnsi="仿宋_GB2312" w:eastAsia="仿宋_GB2312" w:cs="仿宋_GB2312"/>
          <w:color w:val="auto"/>
          <w:spacing w:val="0"/>
          <w:sz w:val="32"/>
          <w:szCs w:val="32"/>
        </w:rPr>
        <w:t>依托新延一体化交通廊道，加快打造新延快速路产业带、科隆大道产业带，围绕食品加工、节能环保两大主导产业和医药化工、现代物流、文旅康养等新兴产业，形成分工明确、一体发展的产业新格局。积极融入郑新高新技术产业带，发展现代物流、电子商务等新产业新业态，助力产业延链、补链、提质升级。充分发挥农业资源、产业基础等优势，推动新延产业协同发展、功能互补，打造新延共同发展区。加快推进新延两地产业、生态、基础设施、生产生活一体化，完善新延一体化日常生活圈。</w:t>
      </w:r>
      <w:r>
        <w:rPr>
          <w:rFonts w:hint="eastAsia" w:ascii="仿宋_GB2312" w:hAnsi="仿宋_GB2312" w:eastAsia="仿宋_GB2312" w:cs="仿宋_GB2312"/>
          <w:b/>
          <w:bCs/>
          <w:i w:val="0"/>
          <w:iCs w:val="0"/>
          <w:caps w:val="0"/>
          <w:color w:val="auto"/>
          <w:spacing w:val="0"/>
          <w:kern w:val="0"/>
          <w:sz w:val="32"/>
          <w:szCs w:val="32"/>
          <w:shd w:val="clear" w:fill="FFFFFF"/>
          <w:lang w:val="en-US" w:eastAsia="zh-CN" w:bidi="ar"/>
        </w:rPr>
        <w:t>四是</w:t>
      </w:r>
      <w:r>
        <w:rPr>
          <w:rFonts w:hint="eastAsia" w:ascii="仿宋_GB2312" w:hAnsi="仿宋_GB2312" w:eastAsia="仿宋_GB2312" w:cs="仿宋_GB2312"/>
          <w:b w:val="0"/>
          <w:bCs w:val="0"/>
          <w:color w:val="auto"/>
          <w:spacing w:val="0"/>
          <w:sz w:val="32"/>
          <w:szCs w:val="32"/>
        </w:rPr>
        <w:t>推动公共服务一体化。</w:t>
      </w:r>
      <w:r>
        <w:rPr>
          <w:rFonts w:hint="eastAsia" w:ascii="仿宋_GB2312" w:hAnsi="仿宋_GB2312" w:eastAsia="仿宋_GB2312" w:cs="仿宋_GB2312"/>
          <w:color w:val="auto"/>
          <w:spacing w:val="0"/>
          <w:sz w:val="32"/>
          <w:szCs w:val="32"/>
        </w:rPr>
        <w:t>按照“规划引领、交通先行、产业协同、功能互补、节点突破、统筹推进”的思路，全方位对接郑新一体化发展战略，推动新延快速路等重大交通基础设施建设，打造一体化复合型交通廊道。加快推进基础设施建设，推动给水、排水、供电、道路、通讯、暖气、天然气管网等“七网”互联互通，实现基础设施、医疗卫生、教育文化、社会保障和服务平台等服务设施互联互通、共建共享，推动基本公共服务一体化。</w:t>
      </w:r>
      <w:r>
        <w:rPr>
          <w:rFonts w:hint="eastAsia" w:ascii="仿宋_GB2312" w:hAnsi="仿宋_GB2312" w:eastAsia="仿宋_GB2312" w:cs="仿宋_GB2312"/>
          <w:b/>
          <w:bCs/>
          <w:i w:val="0"/>
          <w:iCs w:val="0"/>
          <w:caps w:val="0"/>
          <w:color w:val="auto"/>
          <w:spacing w:val="0"/>
          <w:kern w:val="0"/>
          <w:sz w:val="32"/>
          <w:szCs w:val="32"/>
          <w:shd w:val="clear" w:fill="FFFFFF"/>
          <w:lang w:val="en-US" w:eastAsia="zh-CN" w:bidi="ar"/>
        </w:rPr>
        <w:t>五是</w:t>
      </w:r>
      <w:r>
        <w:rPr>
          <w:rFonts w:hint="eastAsia" w:ascii="仿宋_GB2312" w:hAnsi="仿宋_GB2312" w:eastAsia="仿宋_GB2312" w:cs="仿宋_GB2312"/>
          <w:b w:val="0"/>
          <w:bCs w:val="0"/>
          <w:color w:val="auto"/>
          <w:spacing w:val="0"/>
          <w:sz w:val="32"/>
          <w:szCs w:val="32"/>
        </w:rPr>
        <w:t>推动农村公路提档升级</w:t>
      </w:r>
      <w:r>
        <w:rPr>
          <w:rFonts w:hint="eastAsia" w:ascii="仿宋_GB2312" w:hAnsi="仿宋_GB2312" w:eastAsia="仿宋_GB2312" w:cs="仿宋_GB2312"/>
          <w:b w:val="0"/>
          <w:bCs w:val="0"/>
          <w:color w:val="auto"/>
          <w:spacing w:val="0"/>
          <w:sz w:val="32"/>
          <w:szCs w:val="32"/>
          <w:lang w:eastAsia="zh-CN"/>
        </w:rPr>
        <w:t>。</w:t>
      </w:r>
      <w:r>
        <w:rPr>
          <w:rFonts w:hint="eastAsia" w:ascii="仿宋_GB2312" w:hAnsi="仿宋_GB2312" w:eastAsia="仿宋_GB2312" w:cs="仿宋_GB2312"/>
          <w:color w:val="auto"/>
          <w:spacing w:val="0"/>
          <w:sz w:val="32"/>
          <w:szCs w:val="32"/>
        </w:rPr>
        <w:t>加快实施“通村入组”工程，县道提档升级改造12条111公里，乡道提档升级改造13条171公里，改建村道150公里。实施县城客运站、丰庄客运站升级改造，实施“万村通客车提质工程”，加大客运线路网络密度，促进城乡客运一体化，满足城乡人民出行需求。到2025年，所有公交运营车辆全部以燃气车、电动车为主，开通5G智能实施全过程监控，实现智能化绿色出行，建设绿色智慧交通。加大农村物流场站建设，实施农村物流节点项目，完善农村物流体系。</w:t>
      </w:r>
      <w:r>
        <w:rPr>
          <w:rFonts w:hint="eastAsia" w:ascii="仿宋_GB2312" w:hAnsi="仿宋_GB2312" w:eastAsia="仿宋_GB2312" w:cs="仿宋_GB2312"/>
          <w:b/>
          <w:bCs/>
          <w:i w:val="0"/>
          <w:iCs w:val="0"/>
          <w:caps w:val="0"/>
          <w:color w:val="auto"/>
          <w:spacing w:val="0"/>
          <w:kern w:val="0"/>
          <w:sz w:val="32"/>
          <w:szCs w:val="32"/>
          <w:shd w:val="clear" w:fill="FFFFFF"/>
          <w:lang w:val="en-US" w:eastAsia="zh-CN" w:bidi="ar"/>
        </w:rPr>
        <w:t>六是</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大力发展大数据、互联网、人工智能、充电桩等为重点的新基建。到2025年底，争取实现5G全覆盖，光纤入户比例达到95%，有义务教育子女的家庭光纤入户及网络硬件普及率100%，5G用户普及率达到50%。</w:t>
      </w:r>
    </w:p>
    <w:p>
      <w:pPr>
        <w:keepNext w:val="0"/>
        <w:keepLines w:val="0"/>
        <w:pageBreakBefore w:val="0"/>
        <w:widowControl w:val="0"/>
        <w:numPr>
          <w:ilvl w:val="0"/>
          <w:numId w:val="0"/>
        </w:numPr>
        <w:kinsoku/>
        <w:wordWrap/>
        <w:overflowPunct/>
        <w:topLinePunct/>
        <w:autoSpaceDE/>
        <w:autoSpaceDN/>
        <w:bidi w:val="0"/>
        <w:adjustRightInd w:val="0"/>
        <w:snapToGrid w:val="0"/>
        <w:spacing w:beforeAutospacing="0" w:afterAutospacing="0" w:line="560" w:lineRule="exact"/>
        <w:ind w:left="0" w:right="0" w:firstLine="640" w:firstLineChars="200"/>
        <w:jc w:val="both"/>
        <w:textAlignment w:val="auto"/>
        <w:outlineLvl w:val="9"/>
        <w:rPr>
          <w:rFonts w:hint="eastAsia" w:ascii="仿宋_GB2312" w:hAnsi="仿宋_GB2312" w:eastAsia="仿宋_GB2312" w:cs="仿宋_GB2312"/>
          <w:b w:val="0"/>
          <w:bCs w:val="0"/>
          <w:color w:val="auto"/>
          <w:spacing w:val="0"/>
          <w:sz w:val="32"/>
          <w:szCs w:val="32"/>
          <w:highlight w:val="none"/>
          <w:lang w:eastAsia="zh-CN"/>
        </w:rPr>
      </w:pPr>
      <w:bookmarkStart w:id="51" w:name="_Toc863457613_WPSOffice_Level3"/>
      <w:r>
        <w:rPr>
          <w:rFonts w:hint="eastAsia" w:ascii="仿宋_GB2312" w:hAnsi="仿宋_GB2312" w:eastAsia="仿宋_GB2312" w:cs="仿宋_GB2312"/>
          <w:b w:val="0"/>
          <w:bCs w:val="0"/>
          <w:color w:val="auto"/>
          <w:spacing w:val="0"/>
          <w:sz w:val="32"/>
          <w:szCs w:val="32"/>
          <w:highlight w:val="none"/>
          <w:lang w:val="en-US" w:eastAsia="zh-CN"/>
        </w:rPr>
        <w:t>8.</w:t>
      </w:r>
      <w:r>
        <w:rPr>
          <w:rFonts w:hint="eastAsia" w:ascii="仿宋_GB2312" w:hAnsi="仿宋_GB2312" w:eastAsia="仿宋_GB2312" w:cs="仿宋_GB2312"/>
          <w:b w:val="0"/>
          <w:bCs w:val="0"/>
          <w:color w:val="auto"/>
          <w:spacing w:val="0"/>
          <w:sz w:val="32"/>
          <w:szCs w:val="32"/>
          <w:highlight w:val="none"/>
        </w:rPr>
        <w:t>开展社会民生质量提升行动</w:t>
      </w:r>
      <w:bookmarkEnd w:id="51"/>
    </w:p>
    <w:p>
      <w:pPr>
        <w:keepNext w:val="0"/>
        <w:keepLines w:val="0"/>
        <w:pageBreakBefore w:val="0"/>
        <w:widowControl w:val="0"/>
        <w:numPr>
          <w:ilvl w:val="0"/>
          <w:numId w:val="0"/>
        </w:numPr>
        <w:kinsoku/>
        <w:wordWrap/>
        <w:overflowPunct/>
        <w:topLinePunct/>
        <w:autoSpaceDE/>
        <w:autoSpaceDN/>
        <w:bidi w:val="0"/>
        <w:adjustRightInd w:val="0"/>
        <w:snapToGrid w:val="0"/>
        <w:spacing w:beforeAutospacing="0" w:afterAutospacing="0" w:line="560" w:lineRule="exact"/>
        <w:ind w:left="0" w:right="0" w:firstLine="640" w:firstLineChars="200"/>
        <w:jc w:val="both"/>
        <w:textAlignment w:val="auto"/>
        <w:outlineLvl w:val="9"/>
        <w:rPr>
          <w:rFonts w:hint="eastAsia" w:ascii="仿宋_GB2312" w:hAnsi="仿宋_GB2312" w:eastAsia="仿宋_GB2312" w:cs="仿宋_GB2312"/>
          <w:b w:val="0"/>
          <w:bCs w:val="0"/>
          <w:i w:val="0"/>
          <w:iCs w:val="0"/>
          <w:caps w:val="0"/>
          <w:color w:val="auto"/>
          <w:spacing w:val="0"/>
          <w:kern w:val="0"/>
          <w:sz w:val="32"/>
          <w:szCs w:val="32"/>
          <w:highlight w:val="none"/>
          <w:shd w:val="clear" w:fill="FFFFFF"/>
          <w:lang w:val="en-US" w:eastAsia="zh-CN" w:bidi="ar"/>
        </w:rPr>
      </w:pPr>
      <w:r>
        <w:rPr>
          <w:rFonts w:hint="eastAsia" w:ascii="仿宋_GB2312" w:hAnsi="仿宋_GB2312" w:eastAsia="仿宋_GB2312" w:cs="仿宋_GB2312"/>
          <w:b w:val="0"/>
          <w:bCs w:val="0"/>
          <w:color w:val="auto"/>
          <w:spacing w:val="0"/>
          <w:sz w:val="32"/>
          <w:szCs w:val="32"/>
          <w:highlight w:val="none"/>
        </w:rPr>
        <w:t>坚持“大卫生、大健康”的发展理念，实施健康行动，推动公立医院高质量发展，持续改进医疗质量，提升基层医疗卫生服务能力， 健全公共卫生体系，为加快建设社会主义现代化标杆县市提供健康保障。持续实施学前教育行动计划，推动建立政府主导、社会参与、公办民办并举的办园体制，多渠道增加普惠性学前教育资源供给。到2025年，幼儿学前三年毛入园率达到93%，学前一年达100%，公办幼儿园在园幼儿占比原则上达到50%，全县普惠性幼儿园在园幼儿占比达到85%。推进义务教育优质均衡发展。到2025年，小学适龄儿童入学率达到100%，初中适龄少年入学率达98%以上，九年义务教育巩固率达到97%以上。落实《延津县普通高中消除大班额专项规划（2020—2022）》，加强学校基础设施建设，改善办学条件，保障公办普通高中稳定健康发展。依托省市开展的省级名师骨干教师培育工程、乡村优秀青年教师培养计划、乡村首席教师岗位计划等，力争在“十四五”期间，完成省级名师10名、省级骨干50名、市级骨干100名，县级骨干500名的培育工程</w:t>
      </w:r>
      <w:r>
        <w:rPr>
          <w:rFonts w:hint="eastAsia" w:ascii="仿宋_GB2312" w:hAnsi="仿宋_GB2312" w:eastAsia="仿宋_GB2312" w:cs="仿宋_GB2312"/>
          <w:b w:val="0"/>
          <w:bCs w:val="0"/>
          <w:color w:val="auto"/>
          <w:spacing w:val="0"/>
          <w:sz w:val="32"/>
          <w:szCs w:val="32"/>
          <w:highlight w:val="none"/>
          <w:lang w:eastAsia="zh-CN"/>
        </w:rPr>
        <w:t>；</w:t>
      </w:r>
      <w:r>
        <w:rPr>
          <w:rStyle w:val="15"/>
          <w:rFonts w:hint="eastAsia" w:ascii="仿宋_GB2312" w:hAnsi="仿宋_GB2312" w:eastAsia="仿宋_GB2312" w:cs="仿宋_GB2312"/>
          <w:b w:val="0"/>
          <w:bCs w:val="0"/>
          <w:i w:val="0"/>
          <w:iCs w:val="0"/>
          <w:caps w:val="0"/>
          <w:color w:val="auto"/>
          <w:spacing w:val="0"/>
          <w:sz w:val="32"/>
          <w:szCs w:val="32"/>
          <w:highlight w:val="none"/>
          <w:shd w:val="clear" w:fill="FFFFFF"/>
        </w:rPr>
        <w:t>加强黄河流域生态保护治理。</w:t>
      </w:r>
      <w:r>
        <w:rPr>
          <w:rFonts w:hint="eastAsia" w:ascii="仿宋_GB2312" w:hAnsi="仿宋_GB2312" w:eastAsia="仿宋_GB2312" w:cs="仿宋_GB2312"/>
          <w:b w:val="0"/>
          <w:bCs w:val="0"/>
          <w:i w:val="0"/>
          <w:iCs w:val="0"/>
          <w:caps w:val="0"/>
          <w:color w:val="auto"/>
          <w:spacing w:val="0"/>
          <w:sz w:val="32"/>
          <w:szCs w:val="32"/>
          <w:highlight w:val="none"/>
          <w:shd w:val="clear" w:fill="FFFFFF"/>
        </w:rPr>
        <w:t>新增造林2400亩、森林抚育5000亩、种苗花卉100亩、花园式庭院单位39个以上。新增省级森林乡村2个、市县级森林乡村39个。</w:t>
      </w:r>
      <w:r>
        <w:rPr>
          <w:rStyle w:val="15"/>
          <w:rFonts w:hint="eastAsia" w:ascii="仿宋_GB2312" w:hAnsi="仿宋_GB2312" w:eastAsia="仿宋_GB2312" w:cs="仿宋_GB2312"/>
          <w:b w:val="0"/>
          <w:bCs w:val="0"/>
          <w:i w:val="0"/>
          <w:iCs w:val="0"/>
          <w:caps w:val="0"/>
          <w:color w:val="auto"/>
          <w:spacing w:val="0"/>
          <w:sz w:val="32"/>
          <w:szCs w:val="32"/>
          <w:highlight w:val="none"/>
          <w:shd w:val="clear" w:fill="FFFFFF"/>
        </w:rPr>
        <w:t>持续改善农村人居环境。</w:t>
      </w:r>
      <w:r>
        <w:rPr>
          <w:rFonts w:hint="eastAsia" w:ascii="仿宋_GB2312" w:hAnsi="仿宋_GB2312" w:eastAsia="仿宋_GB2312" w:cs="仿宋_GB2312"/>
          <w:b w:val="0"/>
          <w:bCs w:val="0"/>
          <w:i w:val="0"/>
          <w:iCs w:val="0"/>
          <w:caps w:val="0"/>
          <w:color w:val="auto"/>
          <w:spacing w:val="0"/>
          <w:sz w:val="32"/>
          <w:szCs w:val="32"/>
          <w:highlight w:val="none"/>
          <w:shd w:val="clear" w:fill="FFFFFF"/>
        </w:rPr>
        <w:t>围绕“四美乡村”创建，持续抓好“三清一改”，实施总投资1.6亿元的农村环境整治和农村道路建设、总投资9000万元的城镇生活垃圾分类收集运输一体化建设、总投资5100万元的畜禽粪污资源化利用整县推进等项目。</w:t>
      </w:r>
      <w:r>
        <w:rPr>
          <w:rFonts w:hint="eastAsia" w:ascii="仿宋_GB2312" w:hAnsi="仿宋_GB2312" w:eastAsia="仿宋_GB2312" w:cs="仿宋_GB2312"/>
          <w:b w:val="0"/>
          <w:bCs w:val="0"/>
          <w:color w:val="auto"/>
          <w:spacing w:val="0"/>
          <w:sz w:val="32"/>
          <w:szCs w:val="32"/>
          <w:highlight w:val="none"/>
        </w:rPr>
        <w:t>完善基本公共卫生服务体系。到2025年，实现每个乡（镇、街道）一所达标的乡（镇、街道）卫生院、每个村（社区）建成一所标准化的卫生室，打造“15分钟村（社区）卫生服务圈”。全面完善健身公共服务体系。深化体育体制改革，鼓励支持社会团体、民间组织举办面向大众的社会体育活动，稳妥发展各类体育俱乐部。到2025年，每万人拥有足球场地0.8-1块，建成11人制足球场2块以上，实现县城区10分钟健身圈和农村全民健身设施全覆盖。</w:t>
      </w:r>
      <w:r>
        <w:rPr>
          <w:rFonts w:hint="eastAsia" w:ascii="仿宋_GB2312" w:hAnsi="仿宋_GB2312" w:eastAsia="仿宋_GB2312" w:cs="仿宋_GB2312"/>
          <w:b w:val="0"/>
          <w:bCs w:val="0"/>
          <w:i w:val="0"/>
          <w:iCs w:val="0"/>
          <w:caps w:val="0"/>
          <w:color w:val="auto"/>
          <w:spacing w:val="0"/>
          <w:kern w:val="0"/>
          <w:sz w:val="32"/>
          <w:szCs w:val="32"/>
          <w:highlight w:val="none"/>
          <w:shd w:val="clear" w:fill="FFFFFF"/>
          <w:lang w:val="en-US" w:eastAsia="zh-CN" w:bidi="ar"/>
        </w:rPr>
        <w:t>深入推进河湖“清四乱”和农村水环境整治，171个村庄污水得到有效治理，9个乡镇污水处理厂正常运行。文岩渠和东大沙河吴安屯断面达标。土壤环境质量稳中向好。完成国土绿化2.2万亩，建成市级森林乡</w:t>
      </w:r>
      <w:r>
        <w:rPr>
          <w:rFonts w:hint="eastAsia" w:ascii="仿宋_GB2312" w:hAnsi="仿宋_GB2312" w:eastAsia="仿宋_GB2312" w:cs="仿宋_GB2312"/>
          <w:b w:val="0"/>
          <w:bCs w:val="0"/>
          <w:i w:val="0"/>
          <w:iCs w:val="0"/>
          <w:caps w:val="0"/>
          <w:color w:val="auto"/>
          <w:spacing w:val="6"/>
          <w:kern w:val="0"/>
          <w:sz w:val="32"/>
          <w:szCs w:val="32"/>
          <w:highlight w:val="none"/>
          <w:shd w:val="clear" w:fill="FFFFFF"/>
          <w:lang w:val="en-US" w:eastAsia="zh-CN" w:bidi="ar"/>
        </w:rPr>
        <w:t>村6个、“一村万树”达标示范村6个，国土绿化工作居全市前列。</w:t>
      </w:r>
    </w:p>
    <w:p>
      <w:pPr>
        <w:keepNext w:val="0"/>
        <w:keepLines w:val="0"/>
        <w:pageBreakBefore w:val="0"/>
        <w:widowControl w:val="0"/>
        <w:numPr>
          <w:ilvl w:val="0"/>
          <w:numId w:val="0"/>
        </w:numPr>
        <w:kinsoku/>
        <w:wordWrap/>
        <w:overflowPunct/>
        <w:topLinePunct/>
        <w:autoSpaceDE/>
        <w:autoSpaceDN/>
        <w:bidi w:val="0"/>
        <w:adjustRightInd w:val="0"/>
        <w:snapToGrid w:val="0"/>
        <w:spacing w:beforeAutospacing="0" w:afterAutospacing="0" w:line="560" w:lineRule="exact"/>
        <w:ind w:left="0" w:right="0" w:firstLine="640" w:firstLineChars="200"/>
        <w:jc w:val="both"/>
        <w:textAlignment w:val="auto"/>
        <w:outlineLvl w:val="9"/>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shd w:val="clear" w:fill="FFFFFF"/>
        </w:rPr>
        <w:t> </w:t>
      </w:r>
      <w:r>
        <w:rPr>
          <w:rFonts w:hint="eastAsia" w:ascii="仿宋_GB2312" w:hAnsi="仿宋_GB2312" w:eastAsia="仿宋_GB2312" w:cs="仿宋_GB2312"/>
          <w:color w:val="auto"/>
          <w:spacing w:val="0"/>
          <w:sz w:val="32"/>
          <w:szCs w:val="32"/>
          <w:lang w:val="en-US" w:eastAsia="zh-CN"/>
        </w:rPr>
        <w:t>9.</w:t>
      </w:r>
      <w:r>
        <w:rPr>
          <w:rFonts w:hint="eastAsia" w:ascii="仿宋_GB2312" w:hAnsi="仿宋_GB2312" w:eastAsia="仿宋_GB2312" w:cs="仿宋_GB2312"/>
          <w:color w:val="auto"/>
          <w:spacing w:val="0"/>
          <w:sz w:val="32"/>
          <w:szCs w:val="32"/>
        </w:rPr>
        <w:t>开展政府服务质量提升行动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spacing w:beforeAutospacing="0" w:afterAutospacing="0" w:line="560" w:lineRule="exact"/>
        <w:ind w:left="0" w:right="0" w:firstLine="640" w:firstLineChars="200"/>
        <w:jc w:val="both"/>
        <w:textAlignment w:val="auto"/>
        <w:outlineLvl w:val="9"/>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积极落实《河南省优化营商环境条例》和《新乡市优化营商环境条例》，</w:t>
      </w:r>
      <w:r>
        <w:rPr>
          <w:rFonts w:hint="eastAsia" w:ascii="仿宋_GB2312" w:hAnsi="仿宋_GB2312" w:eastAsia="仿宋_GB2312" w:cs="仿宋_GB2312"/>
          <w:color w:val="auto"/>
          <w:spacing w:val="0"/>
          <w:kern w:val="0"/>
          <w:sz w:val="32"/>
          <w:szCs w:val="32"/>
          <w:lang w:val="en-US" w:eastAsia="zh-CN" w:bidi="ar"/>
        </w:rPr>
        <w:t>出台《延津县招商引资优惠办法》《延津县招商引资引荐人奖励办法》等政策措施，支持项目入驻和企业发展。在打造优越“硬环境”的同时，更加注重“软环境”打造，不断强化服务功能，深化体制机制改革，真正做到“审批事项最少，办事效率最高，服务环境最优”。</w:t>
      </w:r>
      <w:r>
        <w:rPr>
          <w:rFonts w:hint="eastAsia" w:ascii="仿宋_GB2312" w:hAnsi="仿宋_GB2312" w:eastAsia="仿宋_GB2312" w:cs="仿宋_GB2312"/>
          <w:color w:val="auto"/>
          <w:spacing w:val="0"/>
          <w:sz w:val="32"/>
          <w:szCs w:val="32"/>
        </w:rPr>
        <w:t>依托“互联网+政务服务”，扎实推进“一网通办”前提下“最多跑一次”向“一次不用跑”转变</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变“群众跑腿”为“数据跑腿”，打造“不打烊”的“数字政府”。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autoSpaceDE/>
        <w:autoSpaceDN/>
        <w:bidi w:val="0"/>
        <w:adjustRightInd/>
        <w:snapToGrid/>
        <w:spacing w:beforeAutospacing="0" w:afterAutospacing="0" w:line="560" w:lineRule="exact"/>
        <w:ind w:left="0" w:right="0" w:firstLine="640" w:firstLineChars="200"/>
        <w:jc w:val="both"/>
        <w:textAlignment w:val="auto"/>
        <w:outlineLvl w:val="9"/>
        <w:rPr>
          <w:rFonts w:hint="eastAsia" w:ascii="楷体_GB2312" w:hAnsi="楷体_GB2312" w:eastAsia="楷体_GB2312" w:cs="楷体_GB2312"/>
          <w:b w:val="0"/>
          <w:bCs w:val="0"/>
          <w:color w:val="auto"/>
          <w:spacing w:val="0"/>
          <w:sz w:val="32"/>
          <w:szCs w:val="32"/>
        </w:rPr>
      </w:pPr>
      <w:bookmarkStart w:id="52" w:name="_Toc202286846_WPSOffice_Level2"/>
      <w:r>
        <w:rPr>
          <w:rFonts w:hint="eastAsia" w:ascii="楷体_GB2312" w:hAnsi="楷体_GB2312" w:eastAsia="楷体_GB2312" w:cs="楷体_GB2312"/>
          <w:b w:val="0"/>
          <w:bCs w:val="0"/>
          <w:color w:val="auto"/>
          <w:spacing w:val="0"/>
          <w:sz w:val="32"/>
          <w:szCs w:val="32"/>
        </w:rPr>
        <w:t>（四）加强知识产权管理，统筹推进质量强</w:t>
      </w:r>
      <w:r>
        <w:rPr>
          <w:rFonts w:hint="eastAsia" w:ascii="楷体_GB2312" w:hAnsi="楷体_GB2312" w:eastAsia="楷体_GB2312" w:cs="楷体_GB2312"/>
          <w:b w:val="0"/>
          <w:bCs w:val="0"/>
          <w:color w:val="auto"/>
          <w:spacing w:val="0"/>
          <w:sz w:val="32"/>
          <w:szCs w:val="32"/>
          <w:lang w:val="en-US" w:eastAsia="zh-CN"/>
        </w:rPr>
        <w:t>县</w:t>
      </w:r>
      <w:r>
        <w:rPr>
          <w:rFonts w:hint="eastAsia" w:ascii="楷体_GB2312" w:hAnsi="楷体_GB2312" w:eastAsia="楷体_GB2312" w:cs="楷体_GB2312"/>
          <w:b w:val="0"/>
          <w:bCs w:val="0"/>
          <w:color w:val="auto"/>
          <w:spacing w:val="0"/>
          <w:sz w:val="32"/>
          <w:szCs w:val="32"/>
        </w:rPr>
        <w:t>建设</w:t>
      </w:r>
      <w:bookmarkEnd w:id="52"/>
    </w:p>
    <w:p>
      <w:pPr>
        <w:keepNext w:val="0"/>
        <w:keepLines w:val="0"/>
        <w:pageBreakBefore w:val="0"/>
        <w:widowControl w:val="0"/>
        <w:kinsoku/>
        <w:wordWrap/>
        <w:overflowPunct/>
        <w:topLinePunct/>
        <w:autoSpaceDE/>
        <w:autoSpaceDN/>
        <w:bidi w:val="0"/>
        <w:adjustRightInd w:val="0"/>
        <w:snapToGrid w:val="0"/>
        <w:spacing w:beforeAutospacing="0" w:afterAutospacing="0" w:line="560" w:lineRule="exact"/>
        <w:ind w:left="0" w:right="0" w:firstLine="640" w:firstLineChars="200"/>
        <w:jc w:val="both"/>
        <w:textAlignment w:val="auto"/>
        <w:outlineLvl w:val="9"/>
        <w:rPr>
          <w:rFonts w:hint="eastAsia" w:ascii="仿宋_GB2312" w:hAnsi="仿宋_GB2312" w:eastAsia="仿宋_GB2312" w:cs="仿宋_GB2312"/>
          <w:color w:val="auto"/>
          <w:spacing w:val="0"/>
          <w:sz w:val="32"/>
          <w:szCs w:val="32"/>
        </w:rPr>
      </w:pPr>
      <w:bookmarkStart w:id="53" w:name="_Toc1518097394_WPSOffice_Level3"/>
      <w:r>
        <w:rPr>
          <w:rFonts w:hint="eastAsia" w:ascii="仿宋_GB2312" w:hAnsi="仿宋_GB2312" w:eastAsia="仿宋_GB2312" w:cs="仿宋_GB2312"/>
          <w:color w:val="auto"/>
          <w:spacing w:val="0"/>
          <w:sz w:val="32"/>
          <w:szCs w:val="32"/>
        </w:rPr>
        <w:t>1.制定和完善知识产权促进政策</w:t>
      </w:r>
      <w:bookmarkEnd w:id="53"/>
    </w:p>
    <w:p>
      <w:pPr>
        <w:keepNext w:val="0"/>
        <w:keepLines w:val="0"/>
        <w:pageBreakBefore w:val="0"/>
        <w:widowControl w:val="0"/>
        <w:kinsoku/>
        <w:wordWrap/>
        <w:overflowPunct/>
        <w:topLinePunct/>
        <w:autoSpaceDE/>
        <w:autoSpaceDN/>
        <w:bidi w:val="0"/>
        <w:adjustRightInd w:val="0"/>
        <w:snapToGrid w:val="0"/>
        <w:spacing w:beforeAutospacing="0" w:afterAutospacing="0" w:line="560" w:lineRule="exact"/>
        <w:ind w:left="0" w:right="0" w:firstLine="640" w:firstLineChars="200"/>
        <w:jc w:val="both"/>
        <w:textAlignment w:val="auto"/>
        <w:outlineLvl w:val="9"/>
        <w:rPr>
          <w:rFonts w:hint="eastAsia" w:ascii="仿宋_GB2312" w:hAnsi="仿宋_GB2312" w:eastAsia="仿宋_GB2312" w:cs="仿宋_GB2312"/>
          <w:color w:val="auto"/>
          <w:spacing w:val="0"/>
          <w:sz w:val="32"/>
          <w:szCs w:val="32"/>
          <w:highlight w:val="none"/>
          <w:lang w:eastAsia="zh-CN"/>
        </w:rPr>
      </w:pPr>
      <w:r>
        <w:rPr>
          <w:rFonts w:hint="eastAsia" w:ascii="仿宋_GB2312" w:hAnsi="仿宋_GB2312" w:eastAsia="仿宋_GB2312" w:cs="仿宋_GB2312"/>
          <w:color w:val="auto"/>
          <w:spacing w:val="0"/>
          <w:sz w:val="32"/>
          <w:szCs w:val="32"/>
        </w:rPr>
        <w:t>贯彻落实《知识产权强国战略纲要（2021-2035）》和《“十 四五”知识产权保护和运用规划》，建立</w:t>
      </w:r>
      <w:r>
        <w:rPr>
          <w:rFonts w:hint="eastAsia" w:ascii="仿宋_GB2312" w:hAnsi="仿宋_GB2312" w:eastAsia="仿宋_GB2312" w:cs="仿宋_GB2312"/>
          <w:color w:val="auto"/>
          <w:spacing w:val="0"/>
          <w:sz w:val="32"/>
          <w:szCs w:val="32"/>
          <w:lang w:eastAsia="zh-CN"/>
        </w:rPr>
        <w:t>延津县</w:t>
      </w:r>
      <w:r>
        <w:rPr>
          <w:rFonts w:hint="eastAsia" w:ascii="仿宋_GB2312" w:hAnsi="仿宋_GB2312" w:eastAsia="仿宋_GB2312" w:cs="仿宋_GB2312"/>
          <w:color w:val="auto"/>
          <w:spacing w:val="0"/>
          <w:sz w:val="32"/>
          <w:szCs w:val="32"/>
        </w:rPr>
        <w:t>知识产权战略实施工作联席会议制度，做好全</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知识产权战略和规划的制定和实施工作。实施商标品牌战略，加强对市场主体开展驰名商标申请的指导，加大地理标志申请的审查、确权相关前置服务工作，开展地理标志认定申请。推进“延津小麦”、“延津花生”等优质粮食工程，进一步提升“中国第一麦”、“延津优质好花生”等品牌效应。持续叫响</w:t>
      </w:r>
      <w:r>
        <w:rPr>
          <w:rFonts w:hint="eastAsia" w:ascii="仿宋_GB2312" w:hAnsi="仿宋_GB2312" w:eastAsia="仿宋_GB2312" w:cs="仿宋_GB2312"/>
          <w:color w:val="auto"/>
          <w:spacing w:val="0"/>
          <w:sz w:val="32"/>
          <w:szCs w:val="32"/>
          <w:highlight w:val="none"/>
        </w:rPr>
        <w:t>延津“优质小麦”和“优质花生”两大主导产业区域品牌</w:t>
      </w:r>
      <w:r>
        <w:rPr>
          <w:rFonts w:hint="eastAsia" w:ascii="仿宋_GB2312" w:hAnsi="仿宋_GB2312" w:eastAsia="仿宋_GB2312" w:cs="仿宋_GB2312"/>
          <w:color w:val="auto"/>
          <w:spacing w:val="0"/>
          <w:sz w:val="32"/>
          <w:szCs w:val="32"/>
          <w:highlight w:val="none"/>
          <w:lang w:eastAsia="zh-CN"/>
        </w:rPr>
        <w:t>。</w:t>
      </w:r>
    </w:p>
    <w:p>
      <w:pPr>
        <w:keepNext w:val="0"/>
        <w:keepLines w:val="0"/>
        <w:pageBreakBefore w:val="0"/>
        <w:widowControl w:val="0"/>
        <w:kinsoku/>
        <w:wordWrap/>
        <w:overflowPunct/>
        <w:topLinePunct/>
        <w:autoSpaceDE/>
        <w:autoSpaceDN/>
        <w:bidi w:val="0"/>
        <w:adjustRightInd w:val="0"/>
        <w:snapToGrid w:val="0"/>
        <w:spacing w:beforeAutospacing="0" w:afterAutospacing="0" w:line="560" w:lineRule="exact"/>
        <w:ind w:left="0" w:right="0" w:firstLine="640" w:firstLineChars="200"/>
        <w:jc w:val="both"/>
        <w:textAlignment w:val="auto"/>
        <w:outlineLvl w:val="9"/>
        <w:rPr>
          <w:rFonts w:hint="eastAsia" w:ascii="仿宋_GB2312" w:hAnsi="仿宋_GB2312" w:eastAsia="仿宋_GB2312" w:cs="仿宋_GB2312"/>
          <w:color w:val="auto"/>
          <w:spacing w:val="0"/>
          <w:sz w:val="32"/>
          <w:szCs w:val="32"/>
        </w:rPr>
      </w:pPr>
      <w:bookmarkStart w:id="54" w:name="_Toc1441987144_WPSOffice_Level3"/>
      <w:r>
        <w:rPr>
          <w:rFonts w:hint="eastAsia" w:ascii="仿宋_GB2312" w:hAnsi="仿宋_GB2312" w:eastAsia="仿宋_GB2312" w:cs="仿宋_GB2312"/>
          <w:color w:val="auto"/>
          <w:spacing w:val="0"/>
          <w:sz w:val="32"/>
          <w:szCs w:val="32"/>
        </w:rPr>
        <w:t>2.推进知识产权运营服务体系建设</w:t>
      </w:r>
      <w:bookmarkEnd w:id="54"/>
    </w:p>
    <w:p>
      <w:pPr>
        <w:keepNext w:val="0"/>
        <w:keepLines w:val="0"/>
        <w:pageBreakBefore w:val="0"/>
        <w:widowControl w:val="0"/>
        <w:kinsoku/>
        <w:wordWrap/>
        <w:overflowPunct/>
        <w:topLinePunct/>
        <w:autoSpaceDE/>
        <w:autoSpaceDN/>
        <w:bidi w:val="0"/>
        <w:adjustRightInd w:val="0"/>
        <w:snapToGrid w:val="0"/>
        <w:spacing w:beforeAutospacing="0" w:afterAutospacing="0" w:line="560" w:lineRule="exact"/>
        <w:ind w:left="0" w:right="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优化知识产权资助奖励政策，支持知识产权转化运用，引导企业提升知识产权质量。完善知识产权质押融资，健全知识产权出资入股和退出机制，降低企业融资、维权成本，促进知识产权转化运用。建立高价值专利的指标体系，从专利布局、专利运营</w:t>
      </w:r>
      <w:r>
        <w:rPr>
          <w:rFonts w:hint="eastAsia" w:ascii="仿宋_GB2312" w:hAnsi="仿宋_GB2312" w:eastAsia="仿宋_GB2312" w:cs="仿宋_GB2312"/>
          <w:color w:val="auto"/>
          <w:spacing w:val="6"/>
          <w:sz w:val="32"/>
          <w:szCs w:val="32"/>
        </w:rPr>
        <w:t>和维权保护全链条开展高价值专利培育，形成一批规模较大、布局合理、具有国际竞争力的高价值专利组合，提升企业核心竞争力。</w:t>
      </w:r>
    </w:p>
    <w:p>
      <w:pPr>
        <w:keepNext w:val="0"/>
        <w:keepLines w:val="0"/>
        <w:pageBreakBefore w:val="0"/>
        <w:widowControl w:val="0"/>
        <w:kinsoku/>
        <w:wordWrap/>
        <w:overflowPunct/>
        <w:topLinePunct/>
        <w:autoSpaceDE/>
        <w:autoSpaceDN/>
        <w:bidi w:val="0"/>
        <w:adjustRightInd w:val="0"/>
        <w:snapToGrid w:val="0"/>
        <w:spacing w:beforeAutospacing="0" w:afterAutospacing="0" w:line="560" w:lineRule="exact"/>
        <w:ind w:left="0" w:right="0" w:firstLine="640" w:firstLineChars="200"/>
        <w:jc w:val="both"/>
        <w:textAlignment w:val="auto"/>
        <w:outlineLvl w:val="9"/>
        <w:rPr>
          <w:rFonts w:hint="eastAsia" w:ascii="仿宋_GB2312" w:hAnsi="仿宋_GB2312" w:eastAsia="仿宋_GB2312" w:cs="仿宋_GB2312"/>
          <w:color w:val="auto"/>
          <w:spacing w:val="0"/>
          <w:sz w:val="32"/>
          <w:szCs w:val="32"/>
        </w:rPr>
      </w:pPr>
      <w:bookmarkStart w:id="55" w:name="_Toc423082659_WPSOffice_Level3"/>
      <w:r>
        <w:rPr>
          <w:rFonts w:hint="eastAsia" w:ascii="仿宋_GB2312" w:hAnsi="仿宋_GB2312" w:eastAsia="仿宋_GB2312" w:cs="仿宋_GB2312"/>
          <w:color w:val="auto"/>
          <w:spacing w:val="0"/>
          <w:sz w:val="32"/>
          <w:szCs w:val="32"/>
        </w:rPr>
        <w:t>3.加强知识产权保护</w:t>
      </w:r>
      <w:bookmarkEnd w:id="55"/>
    </w:p>
    <w:p>
      <w:pPr>
        <w:keepNext w:val="0"/>
        <w:keepLines w:val="0"/>
        <w:pageBreakBefore w:val="0"/>
        <w:widowControl w:val="0"/>
        <w:kinsoku/>
        <w:wordWrap/>
        <w:overflowPunct/>
        <w:topLinePunct/>
        <w:autoSpaceDE/>
        <w:autoSpaceDN/>
        <w:bidi w:val="0"/>
        <w:spacing w:beforeAutospacing="0" w:afterAutospacing="0" w:line="560" w:lineRule="exact"/>
        <w:ind w:left="0" w:right="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全面推进知识产权强县建设，努力培育更多高价值核心专利、知名品牌,努力实现知识产权创造由多向优、由大到强转变，力争进入全市知识产权创造、保护、运用、管理和服务第一方阵。大力引导高价值创新创造，提升创新主体专利创造能力，深入开展企事业单位知识产权培育工作，打造企事业单位核心专利，提高企业竞争力。进一步强化知识产权综合布局，以核心专利中心为战略性新兴产业、传统优势产业以及关键技术领域进行专利布局，努力获取一批新技术、新工艺、新产品的专利权，形成一批高质量专利组合。精简、筛选支撑产业发展专利储备，挑选出一批优质专利，提升延津企业在全市范围内的核心竞争力，促进优势产业形成专利联盟。推进商标和地理标识产品产业化，开展商标和地理标识产品优势培育工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autoSpaceDE/>
        <w:autoSpaceDN/>
        <w:bidi w:val="0"/>
        <w:adjustRightInd/>
        <w:snapToGrid/>
        <w:spacing w:beforeAutospacing="0" w:afterAutospacing="0" w:line="560" w:lineRule="exact"/>
        <w:ind w:left="0" w:right="0" w:firstLine="640" w:firstLineChars="200"/>
        <w:jc w:val="both"/>
        <w:textAlignment w:val="auto"/>
        <w:outlineLvl w:val="9"/>
        <w:rPr>
          <w:rFonts w:hint="eastAsia" w:ascii="楷体_GB2312" w:hAnsi="楷体_GB2312" w:eastAsia="楷体_GB2312" w:cs="楷体_GB2312"/>
          <w:b w:val="0"/>
          <w:bCs w:val="0"/>
          <w:color w:val="auto"/>
          <w:spacing w:val="0"/>
          <w:sz w:val="32"/>
          <w:szCs w:val="32"/>
        </w:rPr>
      </w:pPr>
      <w:bookmarkStart w:id="56" w:name="_Toc79273047_WPSOffice_Level2"/>
      <w:r>
        <w:rPr>
          <w:rFonts w:hint="eastAsia" w:ascii="楷体_GB2312" w:hAnsi="楷体_GB2312" w:eastAsia="楷体_GB2312" w:cs="楷体_GB2312"/>
          <w:b w:val="0"/>
          <w:bCs w:val="0"/>
          <w:color w:val="auto"/>
          <w:spacing w:val="0"/>
          <w:sz w:val="32"/>
          <w:szCs w:val="32"/>
        </w:rPr>
        <w:t>（五</w:t>
      </w:r>
      <w:r>
        <w:rPr>
          <w:rFonts w:hint="eastAsia" w:ascii="楷体_GB2312" w:hAnsi="楷体_GB2312" w:eastAsia="楷体_GB2312" w:cs="楷体_GB2312"/>
          <w:b w:val="0"/>
          <w:bCs w:val="0"/>
          <w:color w:val="auto"/>
          <w:spacing w:val="0"/>
          <w:sz w:val="32"/>
          <w:szCs w:val="32"/>
          <w:lang w:eastAsia="zh-CN"/>
        </w:rPr>
        <w:t>）大力实施标准化战略，</w:t>
      </w:r>
      <w:r>
        <w:rPr>
          <w:rFonts w:hint="eastAsia" w:ascii="楷体_GB2312" w:hAnsi="楷体_GB2312" w:eastAsia="楷体_GB2312" w:cs="楷体_GB2312"/>
          <w:b w:val="0"/>
          <w:bCs w:val="0"/>
          <w:color w:val="auto"/>
          <w:spacing w:val="0"/>
          <w:sz w:val="32"/>
          <w:szCs w:val="32"/>
        </w:rPr>
        <w:t>奠定质量崛起基石</w:t>
      </w:r>
      <w:bookmarkEnd w:id="56"/>
    </w:p>
    <w:p>
      <w:pPr>
        <w:keepNext w:val="0"/>
        <w:keepLines w:val="0"/>
        <w:pageBreakBefore w:val="0"/>
        <w:widowControl w:val="0"/>
        <w:kinsoku/>
        <w:wordWrap/>
        <w:overflowPunct/>
        <w:topLinePunct/>
        <w:autoSpaceDE/>
        <w:autoSpaceDN/>
        <w:bidi w:val="0"/>
        <w:adjustRightInd w:val="0"/>
        <w:snapToGrid w:val="0"/>
        <w:spacing w:beforeAutospacing="0" w:afterAutospacing="0" w:line="560" w:lineRule="exact"/>
        <w:ind w:left="0" w:right="0" w:firstLine="640" w:firstLineChars="200"/>
        <w:jc w:val="both"/>
        <w:textAlignment w:val="auto"/>
        <w:outlineLvl w:val="9"/>
        <w:rPr>
          <w:rFonts w:hint="eastAsia" w:ascii="仿宋_GB2312" w:hAnsi="仿宋_GB2312" w:eastAsia="仿宋_GB2312" w:cs="仿宋_GB2312"/>
          <w:color w:val="auto"/>
          <w:spacing w:val="0"/>
          <w:sz w:val="32"/>
          <w:szCs w:val="32"/>
        </w:rPr>
      </w:pPr>
      <w:bookmarkStart w:id="57" w:name="_Toc908808001_WPSOffice_Level3"/>
      <w:r>
        <w:rPr>
          <w:rFonts w:hint="eastAsia" w:ascii="仿宋_GB2312" w:hAnsi="仿宋_GB2312" w:eastAsia="仿宋_GB2312" w:cs="仿宋_GB2312"/>
          <w:color w:val="auto"/>
          <w:spacing w:val="0"/>
          <w:sz w:val="32"/>
          <w:szCs w:val="32"/>
        </w:rPr>
        <w:t>1.加强标准体系建设</w:t>
      </w:r>
      <w:bookmarkEnd w:id="57"/>
    </w:p>
    <w:p>
      <w:pPr>
        <w:keepNext w:val="0"/>
        <w:keepLines w:val="0"/>
        <w:pageBreakBefore w:val="0"/>
        <w:widowControl w:val="0"/>
        <w:kinsoku/>
        <w:wordWrap/>
        <w:overflowPunct/>
        <w:topLinePunct/>
        <w:autoSpaceDE/>
        <w:autoSpaceDN/>
        <w:bidi w:val="0"/>
        <w:adjustRightInd w:val="0"/>
        <w:snapToGrid w:val="0"/>
        <w:spacing w:beforeAutospacing="0" w:afterAutospacing="0" w:line="560" w:lineRule="exact"/>
        <w:ind w:left="0" w:right="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完善标准化工作体制机制。加强全</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标准工作的领导，强化标准化主管部门统筹职责，发挥行业主管部门的作用。推动社会共建共享，构建多方参与、协同推进的标准化共治格局。强化工业和信息化行业标准化工作，出台对标达标工作指引，开展达标对标提升行动，强化标准体系科学规划、有效实施、持续改进的闭环改管理。引导和支持技术优势企业在高精铝、新材料、高端装备制造等主导产业参与制（修）订国际标准、国家标准和行业标准。在社会管理和公共服务等领域关键环节，推行一批地方标准。规范发展团体标准，支持社会团体以满足市场和创新需要为目标，制定团体标准引导行业发展。鼓励企业制定实施高</w:t>
      </w:r>
      <w:r>
        <w:rPr>
          <w:rFonts w:hint="eastAsia" w:ascii="仿宋_GB2312" w:hAnsi="仿宋_GB2312" w:eastAsia="仿宋_GB2312" w:cs="仿宋_GB2312"/>
          <w:color w:val="auto"/>
          <w:spacing w:val="0"/>
          <w:sz w:val="32"/>
          <w:szCs w:val="32"/>
          <w:lang w:val="en-US" w:eastAsia="zh-CN"/>
        </w:rPr>
        <w:t>于</w:t>
      </w:r>
      <w:r>
        <w:rPr>
          <w:rFonts w:hint="eastAsia" w:ascii="仿宋_GB2312" w:hAnsi="仿宋_GB2312" w:eastAsia="仿宋_GB2312" w:cs="仿宋_GB2312"/>
          <w:color w:val="auto"/>
          <w:spacing w:val="0"/>
          <w:sz w:val="32"/>
          <w:szCs w:val="32"/>
        </w:rPr>
        <w:t>国际标准、国家标准、行业标准的企业标准。实施企业产品和服务标准自我声明公开与监督制度，督促企业严格执行标准。开展标准化试点示范。推进社会管理和公共服务、先进制造业和现代服务业等领域标准化试点示范建设。以标准形式推广试点示范成功经验，更好发挥试点示范辐射带动作用。</w:t>
      </w:r>
    </w:p>
    <w:p>
      <w:pPr>
        <w:keepNext w:val="0"/>
        <w:keepLines w:val="0"/>
        <w:pageBreakBefore w:val="0"/>
        <w:widowControl w:val="0"/>
        <w:kinsoku/>
        <w:wordWrap/>
        <w:overflowPunct/>
        <w:topLinePunct/>
        <w:autoSpaceDE/>
        <w:autoSpaceDN/>
        <w:bidi w:val="0"/>
        <w:adjustRightInd w:val="0"/>
        <w:snapToGrid w:val="0"/>
        <w:spacing w:beforeAutospacing="0" w:afterAutospacing="0" w:line="560" w:lineRule="exact"/>
        <w:ind w:left="0" w:right="0" w:firstLine="640" w:firstLineChars="200"/>
        <w:jc w:val="both"/>
        <w:textAlignment w:val="auto"/>
        <w:outlineLvl w:val="9"/>
        <w:rPr>
          <w:rFonts w:hint="eastAsia" w:ascii="仿宋_GB2312" w:hAnsi="仿宋_GB2312" w:eastAsia="仿宋_GB2312" w:cs="仿宋_GB2312"/>
          <w:color w:val="auto"/>
          <w:spacing w:val="0"/>
          <w:sz w:val="32"/>
          <w:szCs w:val="32"/>
        </w:rPr>
      </w:pPr>
      <w:bookmarkStart w:id="58" w:name="_Toc1951145863_WPSOffice_Level3"/>
      <w:r>
        <w:rPr>
          <w:rFonts w:hint="eastAsia" w:ascii="仿宋_GB2312" w:hAnsi="仿宋_GB2312" w:eastAsia="仿宋_GB2312" w:cs="仿宋_GB2312"/>
          <w:color w:val="auto"/>
          <w:spacing w:val="0"/>
          <w:sz w:val="32"/>
          <w:szCs w:val="32"/>
        </w:rPr>
        <w:t>2.加强计量体系建设</w:t>
      </w:r>
      <w:bookmarkEnd w:id="58"/>
    </w:p>
    <w:p>
      <w:pPr>
        <w:keepNext w:val="0"/>
        <w:keepLines w:val="0"/>
        <w:pageBreakBefore w:val="0"/>
        <w:widowControl w:val="0"/>
        <w:kinsoku/>
        <w:wordWrap/>
        <w:overflowPunct/>
        <w:topLinePunct/>
        <w:autoSpaceDE/>
        <w:autoSpaceDN/>
        <w:bidi w:val="0"/>
        <w:adjustRightInd w:val="0"/>
        <w:snapToGrid w:val="0"/>
        <w:spacing w:beforeAutospacing="0" w:afterAutospacing="0" w:line="560" w:lineRule="exact"/>
        <w:ind w:left="0" w:right="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围绕优势产业和主导产品计量测试需求，加快发展产业计量测试中心，帮助企业加强计量测试数据的积累、分析和应用，推进产业过程的数据化和智能化，提升企业精细化管理水平 ，促进企业提质增效。重点加强能源资源、环境保护、食品安全、医疗卫生、先进制造业等方面的社会公用计量标准建设；鼓励企业加强</w:t>
      </w:r>
      <w:r>
        <w:rPr>
          <w:rFonts w:hint="eastAsia" w:ascii="仿宋_GB2312" w:hAnsi="仿宋_GB2312" w:eastAsia="仿宋_GB2312" w:cs="仿宋_GB2312"/>
          <w:color w:val="auto"/>
          <w:spacing w:val="0"/>
          <w:sz w:val="32"/>
          <w:szCs w:val="32"/>
          <w:lang w:val="en-US" w:eastAsia="zh-CN"/>
        </w:rPr>
        <w:t>计</w:t>
      </w:r>
      <w:r>
        <w:rPr>
          <w:rFonts w:hint="eastAsia" w:ascii="仿宋_GB2312" w:hAnsi="仿宋_GB2312" w:eastAsia="仿宋_GB2312" w:cs="仿宋_GB2312"/>
          <w:color w:val="auto"/>
          <w:spacing w:val="0"/>
          <w:sz w:val="32"/>
          <w:szCs w:val="32"/>
        </w:rPr>
        <w:t>量传溯源标准建设，完善计量检测体系，建立完善适应社会发展需求的计量人才培训机制，加强计量人才队伍建设，持续提升计量专业技术人员能力水平。</w:t>
      </w:r>
    </w:p>
    <w:p>
      <w:pPr>
        <w:keepNext w:val="0"/>
        <w:keepLines w:val="0"/>
        <w:pageBreakBefore w:val="0"/>
        <w:widowControl w:val="0"/>
        <w:kinsoku/>
        <w:wordWrap/>
        <w:overflowPunct/>
        <w:topLinePunct/>
        <w:autoSpaceDE/>
        <w:autoSpaceDN/>
        <w:bidi w:val="0"/>
        <w:adjustRightInd w:val="0"/>
        <w:snapToGrid w:val="0"/>
        <w:spacing w:beforeAutospacing="0" w:afterAutospacing="0" w:line="560" w:lineRule="exact"/>
        <w:ind w:left="0" w:right="0" w:firstLine="640" w:firstLineChars="200"/>
        <w:jc w:val="both"/>
        <w:textAlignment w:val="auto"/>
        <w:outlineLvl w:val="9"/>
        <w:rPr>
          <w:rFonts w:hint="eastAsia" w:ascii="仿宋_GB2312" w:hAnsi="仿宋_GB2312" w:eastAsia="仿宋_GB2312" w:cs="仿宋_GB2312"/>
          <w:color w:val="auto"/>
          <w:spacing w:val="0"/>
          <w:sz w:val="32"/>
          <w:szCs w:val="32"/>
        </w:rPr>
      </w:pPr>
      <w:bookmarkStart w:id="59" w:name="_Toc774635089_WPSOffice_Level3"/>
      <w:r>
        <w:rPr>
          <w:rFonts w:hint="eastAsia" w:ascii="仿宋_GB2312" w:hAnsi="仿宋_GB2312" w:eastAsia="仿宋_GB2312" w:cs="仿宋_GB2312"/>
          <w:color w:val="auto"/>
          <w:spacing w:val="0"/>
          <w:sz w:val="32"/>
          <w:szCs w:val="32"/>
        </w:rPr>
        <w:t>3.加强认证与检验检测建设</w:t>
      </w:r>
      <w:bookmarkEnd w:id="59"/>
    </w:p>
    <w:p>
      <w:pPr>
        <w:keepNext w:val="0"/>
        <w:keepLines w:val="0"/>
        <w:pageBreakBefore w:val="0"/>
        <w:widowControl w:val="0"/>
        <w:kinsoku/>
        <w:wordWrap/>
        <w:overflowPunct/>
        <w:topLinePunct/>
        <w:autoSpaceDE/>
        <w:autoSpaceDN/>
        <w:bidi w:val="0"/>
        <w:adjustRightInd w:val="0"/>
        <w:snapToGrid w:val="0"/>
        <w:spacing w:beforeAutospacing="0" w:afterAutospacing="0" w:line="560" w:lineRule="exact"/>
        <w:ind w:left="0" w:right="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加强强制性产品认证监管，引导企业开展自愿性认证，加大绿色食品认证力度，扩大绿色标识应用范围，落实绿色产品认证结果采信，积极推广有机产品认证，助推精准扶贫，提升我市农产品质量竞争力。加强检验检测认证公共服务平台建设，加强对企业的检验检测认证服务，提高企业检验检测的便利化服务能力。</w:t>
      </w:r>
    </w:p>
    <w:p>
      <w:pPr>
        <w:keepNext w:val="0"/>
        <w:keepLines w:val="0"/>
        <w:pageBreakBefore w:val="0"/>
        <w:widowControl w:val="0"/>
        <w:kinsoku/>
        <w:wordWrap/>
        <w:overflowPunct/>
        <w:topLinePunct/>
        <w:autoSpaceDE/>
        <w:autoSpaceDN/>
        <w:bidi w:val="0"/>
        <w:adjustRightInd w:val="0"/>
        <w:snapToGrid w:val="0"/>
        <w:spacing w:beforeAutospacing="0" w:afterAutospacing="0" w:line="560" w:lineRule="exact"/>
        <w:ind w:left="0" w:right="0" w:firstLine="640" w:firstLineChars="200"/>
        <w:jc w:val="both"/>
        <w:textAlignment w:val="auto"/>
        <w:outlineLvl w:val="9"/>
        <w:rPr>
          <w:rFonts w:hint="eastAsia" w:ascii="仿宋_GB2312" w:hAnsi="仿宋_GB2312" w:eastAsia="仿宋_GB2312" w:cs="仿宋_GB2312"/>
          <w:color w:val="auto"/>
          <w:spacing w:val="0"/>
          <w:sz w:val="32"/>
          <w:szCs w:val="32"/>
        </w:rPr>
      </w:pPr>
      <w:bookmarkStart w:id="60" w:name="_Toc604290474_WPSOffice_Level3"/>
      <w:r>
        <w:rPr>
          <w:rFonts w:hint="eastAsia" w:ascii="仿宋_GB2312" w:hAnsi="仿宋_GB2312" w:eastAsia="仿宋_GB2312" w:cs="仿宋_GB2312"/>
          <w:color w:val="auto"/>
          <w:spacing w:val="0"/>
          <w:sz w:val="32"/>
          <w:szCs w:val="32"/>
        </w:rPr>
        <w:t>4.强化“一站式”服务</w:t>
      </w:r>
      <w:bookmarkEnd w:id="60"/>
    </w:p>
    <w:p>
      <w:pPr>
        <w:keepNext w:val="0"/>
        <w:keepLines w:val="0"/>
        <w:pageBreakBefore w:val="0"/>
        <w:widowControl w:val="0"/>
        <w:tabs>
          <w:tab w:val="left" w:pos="401"/>
        </w:tabs>
        <w:kinsoku/>
        <w:wordWrap/>
        <w:overflowPunct/>
        <w:topLinePunct/>
        <w:autoSpaceDE/>
        <w:autoSpaceDN/>
        <w:bidi w:val="0"/>
        <w:adjustRightInd w:val="0"/>
        <w:snapToGrid w:val="0"/>
        <w:spacing w:beforeAutospacing="0" w:afterAutospacing="0" w:line="560" w:lineRule="exact"/>
        <w:ind w:left="0" w:right="0" w:firstLine="640" w:firstLineChars="200"/>
        <w:jc w:val="both"/>
        <w:textAlignment w:val="auto"/>
        <w:outlineLvl w:val="9"/>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rPr>
        <w:t>以计量、标准、认证认可、检验检测、合格评定、市场监管、质量管理工具方法为核心打造质量基础设施“一站式”服务，以知识产权、品牌建设等为延伸，强化协同服务、精准服务和高效服务，支持质量技术中介机构提供全过程、全方位、全生命周期的质量综合服务，实现质量基础设施互联互通。积极推进全面质量管理，广泛开展质量风险分析与控制、质量成本管理、质量管理体系等活动，推行智能制造、精益生产、绿色工厂、绿色供应链等高效生产方式。引导企业走质量效益型道路，积极推进卓越绩效管理模式等先进的质量管理模式和方法的应用，实现企业的质量水平、管理能力、经营质量和品牌影响力整体提升</w:t>
      </w:r>
      <w:r>
        <w:rPr>
          <w:rFonts w:hint="eastAsia" w:ascii="仿宋_GB2312" w:hAnsi="仿宋_GB2312" w:eastAsia="仿宋_GB2312" w:cs="仿宋_GB2312"/>
          <w:color w:val="auto"/>
          <w:spacing w:val="0"/>
          <w:sz w:val="32"/>
          <w:szCs w:val="32"/>
          <w:lang w:eastAsia="zh-CN"/>
        </w:rPr>
        <w:tab/>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autoSpaceDE/>
        <w:autoSpaceDN/>
        <w:bidi w:val="0"/>
        <w:adjustRightInd/>
        <w:snapToGrid/>
        <w:spacing w:beforeAutospacing="0" w:afterAutospacing="0" w:line="560" w:lineRule="exact"/>
        <w:ind w:left="0" w:right="0" w:firstLine="640" w:firstLineChars="200"/>
        <w:jc w:val="both"/>
        <w:textAlignment w:val="auto"/>
        <w:outlineLvl w:val="9"/>
        <w:rPr>
          <w:rFonts w:hint="eastAsia" w:ascii="楷体_GB2312" w:hAnsi="楷体_GB2312" w:eastAsia="楷体_GB2312" w:cs="楷体_GB2312"/>
          <w:b w:val="0"/>
          <w:bCs w:val="0"/>
          <w:color w:val="auto"/>
          <w:spacing w:val="0"/>
          <w:sz w:val="32"/>
          <w:szCs w:val="32"/>
        </w:rPr>
      </w:pPr>
      <w:bookmarkStart w:id="61" w:name="_Toc78064606_WPSOffice_Level2"/>
      <w:r>
        <w:rPr>
          <w:rFonts w:hint="eastAsia" w:ascii="楷体_GB2312" w:hAnsi="楷体_GB2312" w:eastAsia="楷体_GB2312" w:cs="楷体_GB2312"/>
          <w:b w:val="0"/>
          <w:bCs w:val="0"/>
          <w:color w:val="auto"/>
          <w:spacing w:val="0"/>
          <w:sz w:val="32"/>
          <w:szCs w:val="32"/>
        </w:rPr>
        <w:t>（六）强力推进质量文化建设，提升城市质量发展水平</w:t>
      </w:r>
      <w:bookmarkEnd w:id="61"/>
    </w:p>
    <w:p>
      <w:pPr>
        <w:keepNext w:val="0"/>
        <w:keepLines w:val="0"/>
        <w:pageBreakBefore w:val="0"/>
        <w:widowControl w:val="0"/>
        <w:kinsoku/>
        <w:wordWrap/>
        <w:overflowPunct/>
        <w:topLinePunct/>
        <w:autoSpaceDE/>
        <w:autoSpaceDN/>
        <w:bidi w:val="0"/>
        <w:adjustRightInd w:val="0"/>
        <w:snapToGrid w:val="0"/>
        <w:spacing w:beforeAutospacing="0" w:afterAutospacing="0" w:line="560" w:lineRule="exact"/>
        <w:ind w:left="0" w:right="0" w:firstLine="640" w:firstLineChars="200"/>
        <w:jc w:val="both"/>
        <w:textAlignment w:val="auto"/>
        <w:outlineLvl w:val="9"/>
        <w:rPr>
          <w:rFonts w:hint="eastAsia" w:ascii="仿宋_GB2312" w:hAnsi="仿宋_GB2312" w:eastAsia="仿宋_GB2312" w:cs="仿宋_GB2312"/>
          <w:color w:val="auto"/>
          <w:spacing w:val="0"/>
          <w:sz w:val="32"/>
          <w:szCs w:val="32"/>
        </w:rPr>
      </w:pPr>
      <w:bookmarkStart w:id="62" w:name="_Toc333921729_WPSOffice_Level3"/>
      <w:r>
        <w:rPr>
          <w:rFonts w:hint="eastAsia" w:ascii="仿宋_GB2312" w:hAnsi="仿宋_GB2312" w:eastAsia="仿宋_GB2312" w:cs="仿宋_GB2312"/>
          <w:color w:val="auto"/>
          <w:spacing w:val="0"/>
          <w:sz w:val="32"/>
          <w:szCs w:val="32"/>
        </w:rPr>
        <w:t>1.培育城市质量文化</w:t>
      </w:r>
      <w:bookmarkEnd w:id="62"/>
    </w:p>
    <w:p>
      <w:pPr>
        <w:keepNext w:val="0"/>
        <w:keepLines w:val="0"/>
        <w:pageBreakBefore w:val="0"/>
        <w:widowControl w:val="0"/>
        <w:kinsoku/>
        <w:wordWrap/>
        <w:overflowPunct/>
        <w:topLinePunct/>
        <w:autoSpaceDE/>
        <w:autoSpaceDN/>
        <w:bidi w:val="0"/>
        <w:adjustRightInd w:val="0"/>
        <w:snapToGrid w:val="0"/>
        <w:spacing w:beforeAutospacing="0" w:afterAutospacing="0" w:line="560" w:lineRule="exact"/>
        <w:ind w:left="0" w:right="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牢固树立质量意识，扎实开展质量强</w:t>
      </w:r>
      <w:r>
        <w:rPr>
          <w:rFonts w:hint="eastAsia" w:ascii="仿宋_GB2312" w:hAnsi="仿宋_GB2312" w:eastAsia="仿宋_GB2312" w:cs="仿宋_GB2312"/>
          <w:color w:val="auto"/>
          <w:spacing w:val="0"/>
          <w:sz w:val="32"/>
          <w:szCs w:val="32"/>
          <w:lang w:val="en-US" w:eastAsia="zh-CN"/>
        </w:rPr>
        <w:t>县</w:t>
      </w:r>
      <w:r>
        <w:rPr>
          <w:rFonts w:hint="eastAsia" w:ascii="仿宋_GB2312" w:hAnsi="仿宋_GB2312" w:eastAsia="仿宋_GB2312" w:cs="仿宋_GB2312"/>
          <w:color w:val="auto"/>
          <w:spacing w:val="0"/>
          <w:sz w:val="32"/>
          <w:szCs w:val="32"/>
        </w:rPr>
        <w:t>工作，走质量优先、质量制胜的发展道路，推动县域经济高质量发展。加强质量基础理论和实证研究，形成一批政策研究成果，丰富城市质量文化内涵。大力弘扬“工匠”精神和“企业家”精神，倡导各行各业精雕细琢、精益求精、追求卓越。探索设立工匠奖，开展“百家品牌、百名工匠”活动，加大对优秀企业家、优秀工匠专题报道，讲解品牌故事，引导广大企业牢固树立“讲质量、求品质、重诚信”的文化氛围，推进企业质量文化发展 。</w:t>
      </w:r>
    </w:p>
    <w:p>
      <w:pPr>
        <w:keepNext w:val="0"/>
        <w:keepLines w:val="0"/>
        <w:pageBreakBefore w:val="0"/>
        <w:widowControl w:val="0"/>
        <w:kinsoku/>
        <w:wordWrap/>
        <w:overflowPunct/>
        <w:topLinePunct/>
        <w:autoSpaceDE/>
        <w:autoSpaceDN/>
        <w:bidi w:val="0"/>
        <w:adjustRightInd w:val="0"/>
        <w:snapToGrid w:val="0"/>
        <w:spacing w:beforeAutospacing="0" w:afterAutospacing="0" w:line="560" w:lineRule="exact"/>
        <w:ind w:left="0" w:right="0" w:firstLine="640" w:firstLineChars="200"/>
        <w:jc w:val="both"/>
        <w:textAlignment w:val="auto"/>
        <w:outlineLvl w:val="9"/>
        <w:rPr>
          <w:rFonts w:hint="eastAsia" w:ascii="仿宋_GB2312" w:hAnsi="仿宋_GB2312" w:eastAsia="仿宋_GB2312" w:cs="仿宋_GB2312"/>
          <w:color w:val="auto"/>
          <w:spacing w:val="0"/>
          <w:sz w:val="32"/>
          <w:szCs w:val="32"/>
          <w:highlight w:val="none"/>
        </w:rPr>
      </w:pPr>
      <w:bookmarkStart w:id="63" w:name="_Toc2078775712_WPSOffice_Level3"/>
      <w:r>
        <w:rPr>
          <w:rFonts w:hint="eastAsia" w:ascii="仿宋_GB2312" w:hAnsi="仿宋_GB2312" w:eastAsia="仿宋_GB2312" w:cs="仿宋_GB2312"/>
          <w:color w:val="auto"/>
          <w:spacing w:val="0"/>
          <w:sz w:val="32"/>
          <w:szCs w:val="32"/>
          <w:highlight w:val="none"/>
        </w:rPr>
        <w:t>2.创新质量文化教育</w:t>
      </w:r>
      <w:bookmarkEnd w:id="63"/>
    </w:p>
    <w:p>
      <w:pPr>
        <w:keepNext w:val="0"/>
        <w:keepLines w:val="0"/>
        <w:pageBreakBefore w:val="0"/>
        <w:widowControl w:val="0"/>
        <w:kinsoku/>
        <w:wordWrap/>
        <w:overflowPunct/>
        <w:topLinePunct/>
        <w:autoSpaceDE/>
        <w:autoSpaceDN/>
        <w:bidi w:val="0"/>
        <w:adjustRightInd w:val="0"/>
        <w:snapToGrid w:val="0"/>
        <w:spacing w:beforeAutospacing="0" w:afterAutospacing="0" w:line="560" w:lineRule="exact"/>
        <w:ind w:left="0" w:right="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highlight w:val="none"/>
        </w:rPr>
        <w:t>全面加快提升市场监管干部队伍能力建设，综合素质与服务对象、管理要求相适应，不断采用新的技术、手段、机制，切实提高监管的效率。创新质量教育机制，加强对领导干部、企业家和企业管理人员的培训；积极引导中小学校、中等职业</w:t>
      </w:r>
      <w:r>
        <w:rPr>
          <w:rFonts w:hint="eastAsia" w:ascii="仿宋_GB2312" w:hAnsi="仿宋_GB2312" w:eastAsia="仿宋_GB2312" w:cs="仿宋_GB2312"/>
          <w:color w:val="auto"/>
          <w:spacing w:val="0"/>
          <w:sz w:val="32"/>
          <w:szCs w:val="32"/>
        </w:rPr>
        <w:t>教育学校开展专题质量教育。加强对企业员工质量知识的教育，弘扬“工匠”精神，提升职业素养。加大中小学社会实践教育基地、企业卓越绩效示范基地科普基地建设，传递先进质量理念与实践，加强质量文化教育。</w:t>
      </w:r>
    </w:p>
    <w:p>
      <w:pPr>
        <w:keepNext w:val="0"/>
        <w:keepLines w:val="0"/>
        <w:pageBreakBefore w:val="0"/>
        <w:widowControl w:val="0"/>
        <w:kinsoku/>
        <w:wordWrap/>
        <w:overflowPunct/>
        <w:topLinePunct/>
        <w:autoSpaceDE/>
        <w:autoSpaceDN/>
        <w:bidi w:val="0"/>
        <w:adjustRightInd w:val="0"/>
        <w:snapToGrid w:val="0"/>
        <w:spacing w:beforeAutospacing="0" w:afterAutospacing="0" w:line="560" w:lineRule="exact"/>
        <w:ind w:left="0" w:right="0" w:firstLine="640" w:firstLineChars="200"/>
        <w:jc w:val="both"/>
        <w:textAlignment w:val="auto"/>
        <w:outlineLvl w:val="9"/>
        <w:rPr>
          <w:rFonts w:hint="eastAsia" w:ascii="仿宋_GB2312" w:hAnsi="仿宋_GB2312" w:eastAsia="仿宋_GB2312" w:cs="仿宋_GB2312"/>
          <w:color w:val="auto"/>
          <w:spacing w:val="0"/>
          <w:sz w:val="32"/>
          <w:szCs w:val="32"/>
        </w:rPr>
      </w:pPr>
      <w:bookmarkStart w:id="64" w:name="_Toc241690871_WPSOffice_Level3"/>
      <w:r>
        <w:rPr>
          <w:rFonts w:hint="eastAsia" w:ascii="仿宋_GB2312" w:hAnsi="仿宋_GB2312" w:eastAsia="仿宋_GB2312" w:cs="仿宋_GB2312"/>
          <w:color w:val="auto"/>
          <w:spacing w:val="0"/>
          <w:sz w:val="32"/>
          <w:szCs w:val="32"/>
        </w:rPr>
        <w:t>3.打造质量人才队伍</w:t>
      </w:r>
      <w:bookmarkEnd w:id="64"/>
    </w:p>
    <w:p>
      <w:pPr>
        <w:pStyle w:val="1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坚持人才与产业融合、人才与团队融合、人才与基金融合、人才与工匠结合，大力实施“人才强县”战略。深入推进人才发展机制改革，实施更加积极、更加开放、更加有效的人才政策。充分利用招才引智服务站平台，大力培养和引进创新型人才和团队，构建“首席专家+技术骨干+企业”的人才引进体系，推动人才资源赋能产业发展。围绕食品加工、医药化工和节能环保三大主导产业，</w:t>
      </w:r>
      <w:r>
        <w:rPr>
          <w:rFonts w:hint="eastAsia" w:ascii="仿宋_GB2312" w:hAnsi="仿宋_GB2312" w:eastAsia="仿宋_GB2312" w:cs="仿宋_GB2312"/>
          <w:i w:val="0"/>
          <w:iCs w:val="0"/>
          <w:caps w:val="0"/>
          <w:color w:val="auto"/>
          <w:spacing w:val="0"/>
          <w:sz w:val="32"/>
          <w:szCs w:val="32"/>
          <w:shd w:val="clear" w:fill="FFFFFF"/>
        </w:rPr>
        <w:t>持续实施“十百千”人才战略工程，完善延津籍在外优秀人才信息库，组建属于自己的</w:t>
      </w:r>
      <w:r>
        <w:rPr>
          <w:rFonts w:hint="eastAsia" w:ascii="仿宋_GB2312" w:hAnsi="仿宋_GB2312" w:eastAsia="仿宋_GB2312" w:cs="仿宋_GB2312"/>
          <w:i w:val="0"/>
          <w:iCs w:val="0"/>
          <w:caps w:val="0"/>
          <w:color w:val="auto"/>
          <w:spacing w:val="0"/>
          <w:sz w:val="32"/>
          <w:szCs w:val="32"/>
          <w:highlight w:val="none"/>
          <w:shd w:val="clear" w:fill="FFFFFF"/>
        </w:rPr>
        <w:t>“延津博士团”</w:t>
      </w:r>
      <w:r>
        <w:rPr>
          <w:rFonts w:hint="eastAsia" w:ascii="仿宋_GB2312" w:hAnsi="仿宋_GB2312" w:eastAsia="仿宋_GB2312" w:cs="仿宋_GB2312"/>
          <w:color w:val="auto"/>
          <w:spacing w:val="0"/>
          <w:sz w:val="32"/>
          <w:szCs w:val="32"/>
        </w:rPr>
        <w:t>。加大紧缺急需专业人才柔性引进力度，培养使用好现有人才，鼓励人才回归、人口回归，加快建立一批科技创新人才培养基地。完善人才引进绿色通道，健全完善人才评价激励机制和服务保障体系，强化财政对人才的投入保障。到2025年，累计引进科技创新杰出人才100名以上、科技创新团队20个以上。</w:t>
      </w:r>
    </w:p>
    <w:p>
      <w:pPr>
        <w:keepNext w:val="0"/>
        <w:keepLines w:val="0"/>
        <w:pageBreakBefore w:val="0"/>
        <w:widowControl w:val="0"/>
        <w:kinsoku/>
        <w:wordWrap/>
        <w:overflowPunct/>
        <w:topLinePunct/>
        <w:autoSpaceDE/>
        <w:autoSpaceDN/>
        <w:bidi w:val="0"/>
        <w:adjustRightInd w:val="0"/>
        <w:snapToGrid w:val="0"/>
        <w:spacing w:beforeAutospacing="0" w:afterAutospacing="0" w:line="560" w:lineRule="exact"/>
        <w:ind w:left="0" w:right="0" w:firstLine="640" w:firstLineChars="200"/>
        <w:jc w:val="both"/>
        <w:textAlignment w:val="auto"/>
        <w:outlineLvl w:val="9"/>
        <w:rPr>
          <w:rFonts w:hint="eastAsia" w:ascii="仿宋_GB2312" w:hAnsi="仿宋_GB2312" w:eastAsia="仿宋_GB2312" w:cs="仿宋_GB2312"/>
          <w:color w:val="auto"/>
          <w:spacing w:val="0"/>
          <w:sz w:val="32"/>
          <w:szCs w:val="32"/>
        </w:rPr>
      </w:pPr>
      <w:bookmarkStart w:id="65" w:name="_Toc1338146677_WPSOffice_Level3"/>
      <w:r>
        <w:rPr>
          <w:rFonts w:hint="eastAsia" w:ascii="仿宋_GB2312" w:hAnsi="仿宋_GB2312" w:eastAsia="仿宋_GB2312" w:cs="仿宋_GB2312"/>
          <w:color w:val="auto"/>
          <w:spacing w:val="0"/>
          <w:sz w:val="32"/>
          <w:szCs w:val="32"/>
        </w:rPr>
        <w:t>4.强化全民质量意识</w:t>
      </w:r>
      <w:bookmarkEnd w:id="65"/>
    </w:p>
    <w:p>
      <w:pPr>
        <w:keepNext w:val="0"/>
        <w:keepLines w:val="0"/>
        <w:pageBreakBefore w:val="0"/>
        <w:widowControl w:val="0"/>
        <w:kinsoku/>
        <w:wordWrap/>
        <w:overflowPunct/>
        <w:topLinePunct/>
        <w:autoSpaceDE/>
        <w:autoSpaceDN/>
        <w:bidi w:val="0"/>
        <w:adjustRightInd w:val="0"/>
        <w:snapToGrid w:val="0"/>
        <w:spacing w:beforeAutospacing="0" w:afterAutospacing="0" w:line="560" w:lineRule="exact"/>
        <w:ind w:left="0" w:right="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引导企业树立“质量第一”的文化理念，不断加强质量公益宣传和舆论引导，深入开展全国“质量月”“中国品牌日”“3</w:t>
      </w:r>
      <w:r>
        <w:rPr>
          <w:rFonts w:hint="eastAsia" w:ascii="仿宋_GB2312" w:hAnsi="仿宋_GB2312" w:eastAsia="仿宋_GB2312" w:cs="仿宋_GB2312"/>
          <w:color w:val="auto"/>
          <w:spacing w:val="0"/>
          <w:sz w:val="32"/>
          <w:szCs w:val="32"/>
          <w:lang w:val="en-US" w:eastAsia="zh-CN"/>
        </w:rPr>
        <w:t>.</w:t>
      </w:r>
      <w:r>
        <w:rPr>
          <w:rFonts w:hint="eastAsia" w:ascii="仿宋_GB2312" w:hAnsi="仿宋_GB2312" w:eastAsia="仿宋_GB2312" w:cs="仿宋_GB2312"/>
          <w:color w:val="auto"/>
          <w:spacing w:val="0"/>
          <w:sz w:val="32"/>
          <w:szCs w:val="32"/>
        </w:rPr>
        <w:t>15 国际消费者权益日”“世界知识产权日”“世界标准日”“世界计量日”“世界认证认可日”及质量科普知识等主题宣传活动。充分发挥各种新闻媒体和各单位、企业质量品牌文化传播的主力军作用， 将质量文化融入到企业生产经营管理、政府公共服务和社会文化活动等实践工作中。形成政府重视质量、企业追求质量、社会崇尚质量、人人关心质量的良好氛围，提升质量文化软实力。</w:t>
      </w:r>
    </w:p>
    <w:p>
      <w:pPr>
        <w:keepNext w:val="0"/>
        <w:keepLines w:val="0"/>
        <w:pageBreakBefore w:val="0"/>
        <w:widowControl w:val="0"/>
        <w:kinsoku/>
        <w:wordWrap/>
        <w:overflowPunct/>
        <w:topLinePunct/>
        <w:autoSpaceDE/>
        <w:autoSpaceDN/>
        <w:bidi w:val="0"/>
        <w:adjustRightInd w:val="0"/>
        <w:snapToGrid w:val="0"/>
        <w:spacing w:beforeAutospacing="0" w:afterAutospacing="0" w:line="560" w:lineRule="exact"/>
        <w:ind w:left="0" w:right="0" w:firstLine="640" w:firstLineChars="200"/>
        <w:jc w:val="both"/>
        <w:textAlignment w:val="auto"/>
        <w:outlineLvl w:val="9"/>
        <w:rPr>
          <w:rFonts w:hint="eastAsia" w:ascii="黑体" w:hAnsi="黑体" w:eastAsia="黑体" w:cs="黑体"/>
          <w:b w:val="0"/>
          <w:bCs w:val="0"/>
          <w:color w:val="auto"/>
          <w:spacing w:val="0"/>
          <w:sz w:val="32"/>
          <w:szCs w:val="32"/>
          <w:lang w:eastAsia="zh-CN"/>
        </w:rPr>
      </w:pPr>
      <w:bookmarkStart w:id="66" w:name="_Toc1960710189_WPSOffice_Level1"/>
      <w:r>
        <w:rPr>
          <w:rFonts w:hint="eastAsia" w:ascii="黑体" w:hAnsi="黑体" w:eastAsia="黑体" w:cs="黑体"/>
          <w:b w:val="0"/>
          <w:bCs w:val="0"/>
          <w:color w:val="auto"/>
          <w:spacing w:val="0"/>
          <w:sz w:val="32"/>
          <w:szCs w:val="32"/>
          <w:lang w:eastAsia="zh-CN"/>
        </w:rPr>
        <w:t>五、加强组织保障</w:t>
      </w:r>
      <w:bookmarkEnd w:id="66"/>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autoSpaceDE/>
        <w:autoSpaceDN/>
        <w:bidi w:val="0"/>
        <w:adjustRightInd/>
        <w:snapToGrid/>
        <w:spacing w:beforeAutospacing="0" w:afterAutospacing="0" w:line="560" w:lineRule="exact"/>
        <w:ind w:left="0" w:right="0" w:firstLine="640" w:firstLineChars="200"/>
        <w:jc w:val="both"/>
        <w:textAlignment w:val="auto"/>
        <w:outlineLvl w:val="9"/>
        <w:rPr>
          <w:rFonts w:hint="eastAsia" w:ascii="楷体_GB2312" w:hAnsi="楷体_GB2312" w:eastAsia="楷体_GB2312" w:cs="楷体_GB2312"/>
          <w:b w:val="0"/>
          <w:bCs w:val="0"/>
          <w:color w:val="auto"/>
          <w:spacing w:val="0"/>
          <w:sz w:val="32"/>
          <w:szCs w:val="32"/>
          <w:lang w:val="en-US" w:eastAsia="zh-CN"/>
        </w:rPr>
      </w:pPr>
      <w:bookmarkStart w:id="67" w:name="_Toc2043124464_WPSOffice_Level2"/>
      <w:r>
        <w:rPr>
          <w:rFonts w:hint="eastAsia" w:ascii="楷体_GB2312" w:hAnsi="楷体_GB2312" w:eastAsia="楷体_GB2312" w:cs="楷体_GB2312"/>
          <w:b w:val="0"/>
          <w:bCs w:val="0"/>
          <w:color w:val="auto"/>
          <w:spacing w:val="0"/>
          <w:sz w:val="32"/>
          <w:szCs w:val="32"/>
          <w:lang w:val="en-US" w:eastAsia="zh-CN"/>
        </w:rPr>
        <w:t>（一）强化组织领导</w:t>
      </w:r>
      <w:bookmarkEnd w:id="67"/>
    </w:p>
    <w:p>
      <w:pPr>
        <w:keepNext w:val="0"/>
        <w:keepLines w:val="0"/>
        <w:pageBreakBefore w:val="0"/>
        <w:widowControl w:val="0"/>
        <w:suppressLineNumbers w:val="0"/>
        <w:pBdr>
          <w:top w:val="single" w:color="FFFFFF" w:sz="8" w:space="0"/>
          <w:left w:val="single" w:color="FFFFFF" w:sz="8" w:space="31"/>
          <w:bottom w:val="single" w:color="FFFFFF" w:sz="8" w:space="31"/>
          <w:right w:val="single" w:color="FFFFFF" w:sz="8" w:space="26"/>
        </w:pBdr>
        <w:shd w:val="clear" w:color="auto" w:fill="FFFFFF"/>
        <w:kinsoku/>
        <w:wordWrap/>
        <w:overflowPunct/>
        <w:topLinePunct/>
        <w:autoSpaceDE/>
        <w:autoSpaceDN/>
        <w:bidi w:val="0"/>
        <w:adjustRightInd/>
        <w:snapToGrid/>
        <w:spacing w:beforeAutospacing="0" w:afterAutospacing="0" w:line="560" w:lineRule="exact"/>
        <w:ind w:left="0" w:right="0" w:firstLine="640" w:firstLineChars="200"/>
        <w:jc w:val="both"/>
        <w:textAlignment w:val="auto"/>
        <w:outlineLvl w:val="9"/>
        <w:rPr>
          <w:rFonts w:hint="eastAsia" w:ascii="仿宋_GB2312" w:hAnsi="仿宋_GB2312" w:eastAsia="仿宋_GB2312" w:cs="仿宋_GB2312"/>
          <w:b w:val="0"/>
          <w:bCs w:val="0"/>
          <w:i w:val="0"/>
          <w:caps w:val="0"/>
          <w:color w:val="auto"/>
          <w:spacing w:val="0"/>
          <w:kern w:val="0"/>
          <w:sz w:val="32"/>
          <w:szCs w:val="32"/>
          <w:highlight w:val="none"/>
          <w:shd w:val="clear" w:color="auto" w:fill="FFFFFF"/>
          <w:lang w:val="en-US" w:eastAsia="zh-CN" w:bidi="ar"/>
        </w:rPr>
      </w:pPr>
      <w:r>
        <w:rPr>
          <w:rFonts w:hint="eastAsia" w:ascii="仿宋_GB2312" w:hAnsi="仿宋_GB2312" w:eastAsia="仿宋_GB2312" w:cs="仿宋_GB2312"/>
          <w:b w:val="0"/>
          <w:bCs w:val="0"/>
          <w:i w:val="0"/>
          <w:caps w:val="0"/>
          <w:color w:val="auto"/>
          <w:spacing w:val="0"/>
          <w:kern w:val="0"/>
          <w:sz w:val="32"/>
          <w:szCs w:val="32"/>
          <w:highlight w:val="none"/>
          <w:shd w:val="clear" w:color="auto" w:fill="FFFFFF"/>
          <w:lang w:val="en-US" w:eastAsia="zh-CN" w:bidi="ar"/>
        </w:rPr>
        <w:t>建立“党委领导、政府主导、部门联合、企业主责、社会参与”的质量工作格局。加强对质量发展的统筹规划和组织领导，建立健全领导体制和协调机制，统筹质量发展规划制定、质量强县建设、质量品牌发展、质量基础建设。各级党委和政府要定期研究质量品牌提升工作，认真落实质量工作责任制。</w:t>
      </w:r>
    </w:p>
    <w:p>
      <w:pPr>
        <w:keepNext w:val="0"/>
        <w:keepLines w:val="0"/>
        <w:pageBreakBefore w:val="0"/>
        <w:widowControl w:val="0"/>
        <w:suppressLineNumbers w:val="0"/>
        <w:pBdr>
          <w:top w:val="single" w:color="FFFFFF" w:sz="8" w:space="0"/>
          <w:left w:val="single" w:color="FFFFFF" w:sz="8" w:space="31"/>
          <w:bottom w:val="single" w:color="FFFFFF" w:sz="8" w:space="31"/>
          <w:right w:val="single" w:color="FFFFFF" w:sz="8" w:space="26"/>
        </w:pBdr>
        <w:shd w:val="clear" w:color="auto" w:fill="FFFFFF"/>
        <w:kinsoku/>
        <w:wordWrap/>
        <w:overflowPunct/>
        <w:topLinePunct/>
        <w:autoSpaceDE/>
        <w:autoSpaceDN/>
        <w:bidi w:val="0"/>
        <w:adjustRightInd/>
        <w:snapToGrid/>
        <w:spacing w:beforeAutospacing="0" w:afterAutospacing="0" w:line="560" w:lineRule="exact"/>
        <w:ind w:left="0" w:right="0" w:firstLine="640" w:firstLineChars="200"/>
        <w:jc w:val="both"/>
        <w:textAlignment w:val="auto"/>
        <w:outlineLvl w:val="9"/>
        <w:rPr>
          <w:rFonts w:hint="eastAsia" w:ascii="楷体_GB2312" w:hAnsi="楷体_GB2312" w:eastAsia="楷体_GB2312" w:cs="楷体_GB2312"/>
          <w:b w:val="0"/>
          <w:bCs w:val="0"/>
          <w:color w:val="auto"/>
          <w:spacing w:val="0"/>
          <w:sz w:val="32"/>
          <w:szCs w:val="32"/>
          <w:lang w:val="en-US" w:eastAsia="zh-CN"/>
        </w:rPr>
      </w:pPr>
      <w:bookmarkStart w:id="68" w:name="_Toc1722595405_WPSOffice_Level2"/>
      <w:r>
        <w:rPr>
          <w:rFonts w:hint="eastAsia" w:ascii="楷体_GB2312" w:hAnsi="楷体_GB2312" w:eastAsia="楷体_GB2312" w:cs="楷体_GB2312"/>
          <w:b w:val="0"/>
          <w:bCs w:val="0"/>
          <w:color w:val="auto"/>
          <w:spacing w:val="0"/>
          <w:sz w:val="32"/>
          <w:szCs w:val="32"/>
          <w:lang w:val="en-US" w:eastAsia="zh-CN"/>
        </w:rPr>
        <w:t>（二）加大政策支持</w:t>
      </w:r>
      <w:bookmarkEnd w:id="68"/>
    </w:p>
    <w:p>
      <w:pPr>
        <w:keepNext w:val="0"/>
        <w:keepLines w:val="0"/>
        <w:pageBreakBefore w:val="0"/>
        <w:widowControl w:val="0"/>
        <w:numPr>
          <w:ilvl w:val="0"/>
          <w:numId w:val="0"/>
        </w:numPr>
        <w:suppressLineNumbers w:val="0"/>
        <w:pBdr>
          <w:top w:val="single" w:color="FFFFFF" w:sz="8" w:space="0"/>
          <w:left w:val="single" w:color="FFFFFF" w:sz="8" w:space="31"/>
          <w:bottom w:val="single" w:color="FFFFFF" w:sz="8" w:space="31"/>
          <w:right w:val="single" w:color="FFFFFF" w:sz="8" w:space="26"/>
        </w:pBdr>
        <w:shd w:val="clear" w:color="auto" w:fill="FFFFFF"/>
        <w:kinsoku/>
        <w:wordWrap/>
        <w:overflowPunct/>
        <w:topLinePunct/>
        <w:autoSpaceDE/>
        <w:autoSpaceDN/>
        <w:bidi w:val="0"/>
        <w:adjustRightInd/>
        <w:snapToGrid/>
        <w:spacing w:beforeAutospacing="0" w:afterAutospacing="0" w:line="560" w:lineRule="exact"/>
        <w:ind w:left="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rPr>
      </w:pPr>
      <w:r>
        <w:rPr>
          <w:rFonts w:hint="eastAsia" w:ascii="仿宋_GB2312" w:hAnsi="仿宋_GB2312" w:eastAsia="仿宋_GB2312" w:cs="仿宋_GB2312"/>
          <w:b w:val="0"/>
          <w:bCs w:val="0"/>
          <w:color w:val="auto"/>
          <w:spacing w:val="0"/>
          <w:sz w:val="32"/>
          <w:szCs w:val="32"/>
        </w:rPr>
        <w:t>落实《</w:t>
      </w:r>
      <w:r>
        <w:rPr>
          <w:rFonts w:hint="eastAsia" w:ascii="仿宋_GB2312" w:hAnsi="仿宋_GB2312" w:eastAsia="仿宋_GB2312" w:cs="仿宋_GB2312"/>
          <w:b w:val="0"/>
          <w:bCs w:val="0"/>
          <w:color w:val="auto"/>
          <w:spacing w:val="0"/>
          <w:sz w:val="32"/>
          <w:szCs w:val="32"/>
          <w:lang w:eastAsia="zh-CN"/>
        </w:rPr>
        <w:t>延津</w:t>
      </w:r>
      <w:r>
        <w:rPr>
          <w:rFonts w:hint="eastAsia" w:ascii="仿宋_GB2312" w:hAnsi="仿宋_GB2312" w:eastAsia="仿宋_GB2312" w:cs="仿宋_GB2312"/>
          <w:b w:val="0"/>
          <w:bCs w:val="0"/>
          <w:color w:val="auto"/>
          <w:spacing w:val="0"/>
          <w:sz w:val="32"/>
          <w:szCs w:val="32"/>
        </w:rPr>
        <w:t>县质量提升行动实施方案》，保障质量强</w:t>
      </w:r>
      <w:r>
        <w:rPr>
          <w:rFonts w:hint="eastAsia" w:ascii="仿宋_GB2312" w:hAnsi="仿宋_GB2312" w:eastAsia="仿宋_GB2312" w:cs="仿宋_GB2312"/>
          <w:b w:val="0"/>
          <w:bCs w:val="0"/>
          <w:color w:val="auto"/>
          <w:spacing w:val="0"/>
          <w:sz w:val="32"/>
          <w:szCs w:val="32"/>
          <w:lang w:val="en-US" w:eastAsia="zh-CN"/>
        </w:rPr>
        <w:t>县</w:t>
      </w:r>
      <w:r>
        <w:rPr>
          <w:rFonts w:hint="eastAsia" w:ascii="仿宋_GB2312" w:hAnsi="仿宋_GB2312" w:eastAsia="仿宋_GB2312" w:cs="仿宋_GB2312"/>
          <w:b w:val="0"/>
          <w:bCs w:val="0"/>
          <w:color w:val="auto"/>
          <w:spacing w:val="0"/>
          <w:sz w:val="32"/>
          <w:szCs w:val="32"/>
        </w:rPr>
        <w:t>战略工作必备经费。持续开展市</w:t>
      </w:r>
      <w:r>
        <w:rPr>
          <w:rFonts w:hint="eastAsia" w:ascii="仿宋_GB2312" w:hAnsi="仿宋_GB2312" w:eastAsia="仿宋_GB2312" w:cs="仿宋_GB2312"/>
          <w:b w:val="0"/>
          <w:bCs w:val="0"/>
          <w:color w:val="auto"/>
          <w:spacing w:val="0"/>
          <w:sz w:val="32"/>
          <w:szCs w:val="32"/>
          <w:lang w:eastAsia="zh-CN"/>
        </w:rPr>
        <w:t>（县）</w:t>
      </w:r>
      <w:r>
        <w:rPr>
          <w:rFonts w:hint="eastAsia" w:ascii="仿宋_GB2312" w:hAnsi="仿宋_GB2312" w:eastAsia="仿宋_GB2312" w:cs="仿宋_GB2312"/>
          <w:b w:val="0"/>
          <w:bCs w:val="0"/>
          <w:color w:val="auto"/>
          <w:spacing w:val="0"/>
          <w:sz w:val="32"/>
          <w:szCs w:val="32"/>
        </w:rPr>
        <w:t>长质量奖评选活动，充分发挥质量奖企业示范引领，营造企业积极参与、政府重视、社会关注的创</w:t>
      </w:r>
      <w:r>
        <w:rPr>
          <w:rFonts w:hint="eastAsia" w:ascii="仿宋_GB2312" w:hAnsi="仿宋_GB2312" w:eastAsia="仿宋_GB2312" w:cs="仿宋_GB2312"/>
          <w:b w:val="0"/>
          <w:bCs w:val="0"/>
          <w:color w:val="auto"/>
          <w:spacing w:val="0"/>
          <w:w w:val="101"/>
          <w:sz w:val="32"/>
          <w:szCs w:val="32"/>
        </w:rPr>
        <w:t xml:space="preserve"> </w:t>
      </w:r>
      <w:r>
        <w:rPr>
          <w:rFonts w:hint="eastAsia" w:ascii="仿宋_GB2312" w:hAnsi="仿宋_GB2312" w:eastAsia="仿宋_GB2312" w:cs="仿宋_GB2312"/>
          <w:b w:val="0"/>
          <w:bCs w:val="0"/>
          <w:color w:val="auto"/>
          <w:spacing w:val="0"/>
          <w:sz w:val="32"/>
          <w:szCs w:val="32"/>
        </w:rPr>
        <w:t>先争优良好氛围</w:t>
      </w:r>
      <w:r>
        <w:rPr>
          <w:rFonts w:hint="eastAsia" w:ascii="仿宋_GB2312" w:hAnsi="仿宋_GB2312" w:eastAsia="仿宋_GB2312" w:cs="仿宋_GB2312"/>
          <w:b w:val="0"/>
          <w:bCs w:val="0"/>
          <w:color w:val="auto"/>
          <w:spacing w:val="0"/>
          <w:sz w:val="32"/>
          <w:szCs w:val="32"/>
          <w:lang w:eastAsia="zh-CN"/>
        </w:rPr>
        <w:t>，</w:t>
      </w:r>
      <w:r>
        <w:rPr>
          <w:rFonts w:hint="eastAsia" w:ascii="仿宋_GB2312" w:hAnsi="仿宋_GB2312" w:eastAsia="仿宋_GB2312" w:cs="仿宋_GB2312"/>
          <w:b w:val="0"/>
          <w:bCs w:val="0"/>
          <w:color w:val="auto"/>
          <w:spacing w:val="0"/>
          <w:sz w:val="32"/>
          <w:szCs w:val="32"/>
        </w:rPr>
        <w:t>促进经济高质量发展。</w:t>
      </w:r>
    </w:p>
    <w:p>
      <w:pPr>
        <w:keepNext w:val="0"/>
        <w:keepLines w:val="0"/>
        <w:pageBreakBefore w:val="0"/>
        <w:widowControl w:val="0"/>
        <w:numPr>
          <w:ilvl w:val="0"/>
          <w:numId w:val="0"/>
        </w:numPr>
        <w:suppressLineNumbers w:val="0"/>
        <w:pBdr>
          <w:top w:val="single" w:color="FFFFFF" w:sz="8" w:space="0"/>
          <w:left w:val="single" w:color="FFFFFF" w:sz="8" w:space="31"/>
          <w:bottom w:val="single" w:color="FFFFFF" w:sz="8" w:space="31"/>
          <w:right w:val="single" w:color="FFFFFF" w:sz="8" w:space="26"/>
        </w:pBdr>
        <w:shd w:val="clear" w:color="auto" w:fill="FFFFFF"/>
        <w:kinsoku/>
        <w:wordWrap/>
        <w:overflowPunct/>
        <w:topLinePunct/>
        <w:autoSpaceDE/>
        <w:autoSpaceDN/>
        <w:bidi w:val="0"/>
        <w:adjustRightInd/>
        <w:snapToGrid/>
        <w:spacing w:beforeAutospacing="0" w:afterAutospacing="0" w:line="560" w:lineRule="exact"/>
        <w:ind w:left="0" w:right="0" w:rightChars="0" w:firstLine="640" w:firstLineChars="200"/>
        <w:jc w:val="both"/>
        <w:textAlignment w:val="auto"/>
        <w:outlineLvl w:val="9"/>
        <w:rPr>
          <w:rFonts w:hint="eastAsia" w:ascii="楷体_GB2312" w:hAnsi="楷体_GB2312" w:eastAsia="楷体_GB2312" w:cs="楷体_GB2312"/>
          <w:b w:val="0"/>
          <w:bCs w:val="0"/>
          <w:color w:val="auto"/>
          <w:spacing w:val="0"/>
          <w:sz w:val="32"/>
          <w:szCs w:val="32"/>
        </w:rPr>
      </w:pPr>
      <w:bookmarkStart w:id="69" w:name="_Toc1305015893_WPSOffice_Level2"/>
      <w:r>
        <w:rPr>
          <w:rFonts w:hint="eastAsia" w:ascii="楷体_GB2312" w:hAnsi="楷体_GB2312" w:eastAsia="楷体_GB2312" w:cs="楷体_GB2312"/>
          <w:b w:val="0"/>
          <w:bCs w:val="0"/>
          <w:color w:val="auto"/>
          <w:spacing w:val="0"/>
          <w:sz w:val="32"/>
          <w:szCs w:val="32"/>
          <w:lang w:val="en-US" w:eastAsia="zh-CN"/>
        </w:rPr>
        <w:t>（三）</w:t>
      </w:r>
      <w:r>
        <w:rPr>
          <w:rFonts w:hint="eastAsia" w:ascii="楷体_GB2312" w:hAnsi="楷体_GB2312" w:eastAsia="楷体_GB2312" w:cs="楷体_GB2312"/>
          <w:b w:val="0"/>
          <w:bCs w:val="0"/>
          <w:color w:val="auto"/>
          <w:spacing w:val="0"/>
          <w:sz w:val="32"/>
          <w:szCs w:val="32"/>
        </w:rPr>
        <w:t>加大宣传力度</w:t>
      </w:r>
      <w:bookmarkEnd w:id="69"/>
    </w:p>
    <w:p>
      <w:pPr>
        <w:keepNext w:val="0"/>
        <w:keepLines w:val="0"/>
        <w:pageBreakBefore w:val="0"/>
        <w:widowControl w:val="0"/>
        <w:numPr>
          <w:ilvl w:val="0"/>
          <w:numId w:val="0"/>
        </w:numPr>
        <w:suppressLineNumbers w:val="0"/>
        <w:pBdr>
          <w:top w:val="single" w:color="FFFFFF" w:sz="8" w:space="0"/>
          <w:left w:val="single" w:color="FFFFFF" w:sz="8" w:space="31"/>
          <w:bottom w:val="single" w:color="FFFFFF" w:sz="8" w:space="31"/>
          <w:right w:val="single" w:color="FFFFFF" w:sz="8" w:space="26"/>
        </w:pBdr>
        <w:shd w:val="clear" w:color="auto" w:fill="FFFFFF"/>
        <w:kinsoku/>
        <w:wordWrap/>
        <w:overflowPunct/>
        <w:topLinePunct/>
        <w:autoSpaceDE/>
        <w:autoSpaceDN/>
        <w:bidi w:val="0"/>
        <w:adjustRightInd/>
        <w:snapToGrid/>
        <w:spacing w:beforeAutospacing="0" w:afterAutospacing="0" w:line="560" w:lineRule="exact"/>
        <w:ind w:left="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rPr>
      </w:pPr>
      <w:r>
        <w:rPr>
          <w:rFonts w:hint="eastAsia" w:ascii="仿宋_GB2312" w:hAnsi="仿宋_GB2312" w:eastAsia="仿宋_GB2312" w:cs="仿宋_GB2312"/>
          <w:b w:val="0"/>
          <w:bCs w:val="0"/>
          <w:color w:val="auto"/>
          <w:spacing w:val="0"/>
          <w:sz w:val="32"/>
          <w:szCs w:val="32"/>
        </w:rPr>
        <w:t>加强质量文化建设，树立崇尚质量的价值导向</w:t>
      </w:r>
      <w:r>
        <w:rPr>
          <w:rFonts w:hint="eastAsia" w:ascii="仿宋_GB2312" w:hAnsi="仿宋_GB2312" w:eastAsia="仿宋_GB2312" w:cs="仿宋_GB2312"/>
          <w:b w:val="0"/>
          <w:bCs w:val="0"/>
          <w:color w:val="auto"/>
          <w:spacing w:val="0"/>
          <w:sz w:val="32"/>
          <w:szCs w:val="32"/>
          <w:lang w:eastAsia="zh-CN"/>
        </w:rPr>
        <w:t>。</w:t>
      </w:r>
      <w:r>
        <w:rPr>
          <w:rFonts w:hint="eastAsia" w:ascii="仿宋_GB2312" w:hAnsi="仿宋_GB2312" w:eastAsia="仿宋_GB2312" w:cs="仿宋_GB2312"/>
          <w:b w:val="0"/>
          <w:bCs w:val="0"/>
          <w:color w:val="auto"/>
          <w:spacing w:val="0"/>
          <w:sz w:val="32"/>
          <w:szCs w:val="32"/>
        </w:rPr>
        <w:t>各职能部</w:t>
      </w:r>
      <w:r>
        <w:rPr>
          <w:rFonts w:hint="eastAsia" w:ascii="仿宋_GB2312" w:hAnsi="仿宋_GB2312" w:eastAsia="仿宋_GB2312" w:cs="仿宋_GB2312"/>
          <w:b w:val="0"/>
          <w:bCs w:val="0"/>
          <w:color w:val="auto"/>
          <w:spacing w:val="0"/>
          <w:w w:val="101"/>
          <w:sz w:val="32"/>
          <w:szCs w:val="32"/>
        </w:rPr>
        <w:t xml:space="preserve"> </w:t>
      </w:r>
      <w:r>
        <w:rPr>
          <w:rFonts w:hint="eastAsia" w:ascii="仿宋_GB2312" w:hAnsi="仿宋_GB2312" w:eastAsia="仿宋_GB2312" w:cs="仿宋_GB2312"/>
          <w:b w:val="0"/>
          <w:bCs w:val="0"/>
          <w:color w:val="auto"/>
          <w:spacing w:val="0"/>
          <w:sz w:val="32"/>
          <w:szCs w:val="32"/>
        </w:rPr>
        <w:t>门要结合职能，加强对质量方面相关法律法规及质量强国、质量强省和质量强市政策的宣传，强化部门联动，每年“全国质量月”为抓手，动员社会各领域广泛参与，开展形式多样的质量科普宣传。组织好“3.l5 国际消费者权益 日”、“4.26 世界知识产权日”、“等主题活动，营造人人关心质量、人人创造质量、人人享受质量的良好社会氛围。</w:t>
      </w:r>
    </w:p>
    <w:p>
      <w:pPr>
        <w:keepNext w:val="0"/>
        <w:keepLines w:val="0"/>
        <w:pageBreakBefore w:val="0"/>
        <w:widowControl w:val="0"/>
        <w:numPr>
          <w:ilvl w:val="0"/>
          <w:numId w:val="0"/>
        </w:numPr>
        <w:suppressLineNumbers w:val="0"/>
        <w:pBdr>
          <w:top w:val="single" w:color="FFFFFF" w:sz="8" w:space="0"/>
          <w:left w:val="single" w:color="FFFFFF" w:sz="8" w:space="31"/>
          <w:bottom w:val="single" w:color="FFFFFF" w:sz="8" w:space="31"/>
          <w:right w:val="single" w:color="FFFFFF" w:sz="8" w:space="26"/>
        </w:pBdr>
        <w:shd w:val="clear" w:color="auto" w:fill="FFFFFF"/>
        <w:kinsoku/>
        <w:wordWrap/>
        <w:overflowPunct/>
        <w:topLinePunct/>
        <w:autoSpaceDE/>
        <w:autoSpaceDN/>
        <w:bidi w:val="0"/>
        <w:adjustRightInd/>
        <w:snapToGrid/>
        <w:spacing w:beforeAutospacing="0" w:afterAutospacing="0" w:line="560" w:lineRule="exact"/>
        <w:ind w:left="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val="en-US" w:eastAsia="zh-CN"/>
        </w:rPr>
      </w:pPr>
      <w:bookmarkStart w:id="70" w:name="_Toc337073853_WPSOffice_Level2"/>
      <w:r>
        <w:rPr>
          <w:rFonts w:hint="eastAsia" w:ascii="楷体_GB2312" w:hAnsi="楷体_GB2312" w:eastAsia="楷体_GB2312" w:cs="楷体_GB2312"/>
          <w:b w:val="0"/>
          <w:bCs w:val="0"/>
          <w:color w:val="auto"/>
          <w:spacing w:val="0"/>
          <w:sz w:val="32"/>
          <w:szCs w:val="32"/>
          <w:lang w:val="en-US" w:eastAsia="zh-CN"/>
        </w:rPr>
        <w:t>（四）健全评价机制</w:t>
      </w:r>
      <w:bookmarkEnd w:id="70"/>
      <w:r>
        <w:rPr>
          <w:rFonts w:hint="eastAsia" w:ascii="楷体_GB2312" w:hAnsi="楷体_GB2312" w:eastAsia="楷体_GB2312" w:cs="楷体_GB2312"/>
          <w:b w:val="0"/>
          <w:bCs w:val="0"/>
          <w:color w:val="auto"/>
          <w:spacing w:val="0"/>
          <w:sz w:val="32"/>
          <w:szCs w:val="32"/>
          <w:lang w:val="en-US" w:eastAsia="zh-CN"/>
        </w:rPr>
        <w:t xml:space="preserve">   </w:t>
      </w:r>
      <w:r>
        <w:rPr>
          <w:rFonts w:hint="eastAsia" w:ascii="仿宋_GB2312" w:hAnsi="仿宋_GB2312" w:eastAsia="仿宋_GB2312" w:cs="仿宋_GB2312"/>
          <w:b/>
          <w:bCs/>
          <w:color w:val="auto"/>
          <w:spacing w:val="0"/>
          <w:sz w:val="32"/>
          <w:szCs w:val="32"/>
          <w:lang w:val="en-US" w:eastAsia="zh-CN"/>
        </w:rPr>
        <w:t xml:space="preserve"> </w:t>
      </w:r>
      <w:r>
        <w:rPr>
          <w:rFonts w:hint="eastAsia" w:ascii="仿宋_GB2312" w:hAnsi="仿宋_GB2312" w:eastAsia="仿宋_GB2312" w:cs="仿宋_GB2312"/>
          <w:b w:val="0"/>
          <w:bCs w:val="0"/>
          <w:color w:val="auto"/>
          <w:spacing w:val="0"/>
          <w:sz w:val="32"/>
          <w:szCs w:val="32"/>
          <w:lang w:val="en-US" w:eastAsia="zh-CN"/>
        </w:rPr>
        <w:t xml:space="preserve">     </w:t>
      </w:r>
    </w:p>
    <w:p>
      <w:pPr>
        <w:keepNext w:val="0"/>
        <w:keepLines w:val="0"/>
        <w:pageBreakBefore w:val="0"/>
        <w:widowControl w:val="0"/>
        <w:numPr>
          <w:ilvl w:val="0"/>
          <w:numId w:val="0"/>
        </w:numPr>
        <w:suppressLineNumbers w:val="0"/>
        <w:pBdr>
          <w:top w:val="single" w:color="FFFFFF" w:sz="8" w:space="0"/>
          <w:left w:val="single" w:color="FFFFFF" w:sz="8" w:space="31"/>
          <w:bottom w:val="single" w:color="FFFFFF" w:sz="8" w:space="31"/>
          <w:right w:val="single" w:color="FFFFFF" w:sz="8" w:space="26"/>
        </w:pBdr>
        <w:shd w:val="clear" w:color="auto" w:fill="FFFFFF"/>
        <w:kinsoku/>
        <w:wordWrap/>
        <w:overflowPunct/>
        <w:topLinePunct/>
        <w:autoSpaceDE/>
        <w:autoSpaceDN/>
        <w:bidi w:val="0"/>
        <w:adjustRightInd/>
        <w:snapToGrid/>
        <w:spacing w:beforeAutospacing="0" w:afterAutospacing="0" w:line="560" w:lineRule="exact"/>
        <w:ind w:left="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val="0"/>
          <w:bCs w:val="0"/>
          <w:color w:val="auto"/>
          <w:spacing w:val="0"/>
          <w:sz w:val="32"/>
          <w:szCs w:val="32"/>
        </w:rPr>
        <w:t>围绕</w:t>
      </w:r>
      <w:r>
        <w:rPr>
          <w:rFonts w:hint="eastAsia" w:ascii="仿宋_GB2312" w:hAnsi="仿宋_GB2312" w:eastAsia="仿宋_GB2312" w:cs="仿宋_GB2312"/>
          <w:b w:val="0"/>
          <w:bCs w:val="0"/>
          <w:color w:val="auto"/>
          <w:spacing w:val="0"/>
          <w:sz w:val="32"/>
          <w:szCs w:val="32"/>
          <w:lang w:eastAsia="zh-CN"/>
        </w:rPr>
        <w:t>县</w:t>
      </w:r>
      <w:r>
        <w:rPr>
          <w:rFonts w:hint="eastAsia" w:ascii="仿宋_GB2312" w:hAnsi="仿宋_GB2312" w:eastAsia="仿宋_GB2312" w:cs="仿宋_GB2312"/>
          <w:b w:val="0"/>
          <w:bCs w:val="0"/>
          <w:color w:val="auto"/>
          <w:spacing w:val="0"/>
          <w:sz w:val="32"/>
          <w:szCs w:val="32"/>
        </w:rPr>
        <w:t>委、</w:t>
      </w:r>
      <w:r>
        <w:rPr>
          <w:rFonts w:hint="eastAsia" w:ascii="仿宋_GB2312" w:hAnsi="仿宋_GB2312" w:eastAsia="仿宋_GB2312" w:cs="仿宋_GB2312"/>
          <w:b w:val="0"/>
          <w:bCs w:val="0"/>
          <w:color w:val="auto"/>
          <w:spacing w:val="0"/>
          <w:sz w:val="32"/>
          <w:szCs w:val="32"/>
          <w:lang w:eastAsia="zh-CN"/>
        </w:rPr>
        <w:t>县</w:t>
      </w:r>
      <w:r>
        <w:rPr>
          <w:rFonts w:hint="eastAsia" w:ascii="仿宋_GB2312" w:hAnsi="仿宋_GB2312" w:eastAsia="仿宋_GB2312" w:cs="仿宋_GB2312"/>
          <w:b w:val="0"/>
          <w:bCs w:val="0"/>
          <w:color w:val="auto"/>
          <w:spacing w:val="0"/>
          <w:sz w:val="32"/>
          <w:szCs w:val="32"/>
        </w:rPr>
        <w:t>政府中心工作，把质量工作考核目标作为推进质量提升的有效抓手，认真落实质量工作责任制，构建统一权威的质量工作体制机制。根据《规划》内容，制定评价办法，对质量强</w:t>
      </w:r>
      <w:r>
        <w:rPr>
          <w:rFonts w:hint="eastAsia" w:ascii="仿宋_GB2312" w:hAnsi="仿宋_GB2312" w:eastAsia="仿宋_GB2312" w:cs="仿宋_GB2312"/>
          <w:b w:val="0"/>
          <w:bCs w:val="0"/>
          <w:color w:val="auto"/>
          <w:spacing w:val="0"/>
          <w:sz w:val="32"/>
          <w:szCs w:val="32"/>
          <w:lang w:eastAsia="zh-CN"/>
        </w:rPr>
        <w:t>县</w:t>
      </w:r>
      <w:r>
        <w:rPr>
          <w:rFonts w:hint="eastAsia" w:ascii="仿宋_GB2312" w:hAnsi="仿宋_GB2312" w:eastAsia="仿宋_GB2312" w:cs="仿宋_GB2312"/>
          <w:b w:val="0"/>
          <w:bCs w:val="0"/>
          <w:color w:val="auto"/>
          <w:spacing w:val="0"/>
          <w:sz w:val="32"/>
          <w:szCs w:val="32"/>
        </w:rPr>
        <w:t>领导组成员单位工作完成情况进行督促检查，推进任务落实到位，确保目标任务按期完成</w:t>
      </w:r>
      <w:r>
        <w:rPr>
          <w:rFonts w:hint="eastAsia" w:ascii="仿宋_GB2312" w:hAnsi="仿宋_GB2312" w:eastAsia="仿宋_GB2312" w:cs="仿宋_GB2312"/>
          <w:color w:val="auto"/>
          <w:spacing w:val="0"/>
          <w:sz w:val="32"/>
          <w:szCs w:val="32"/>
        </w:rPr>
        <w:t>。</w:t>
      </w:r>
    </w:p>
    <w:p>
      <w:pPr>
        <w:keepNext w:val="0"/>
        <w:keepLines w:val="0"/>
        <w:pageBreakBefore w:val="0"/>
        <w:wordWrap/>
        <w:overflowPunct/>
        <w:topLinePunct w:val="0"/>
        <w:bidi w:val="0"/>
        <w:spacing w:beforeAutospacing="0" w:afterAutospacing="0" w:line="560" w:lineRule="exact"/>
        <w:rPr>
          <w:rFonts w:hint="eastAsia" w:ascii="仿宋_GB2312" w:hAnsi="仿宋_GB2312" w:eastAsia="仿宋_GB2312" w:cs="仿宋_GB2312"/>
          <w:color w:val="auto"/>
          <w:kern w:val="2"/>
          <w:sz w:val="32"/>
          <w:szCs w:val="32"/>
          <w:lang w:val="en-US" w:eastAsia="zh-CN"/>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right="0"/>
        <w:jc w:val="both"/>
        <w:textAlignment w:val="auto"/>
        <w:outlineLvl w:val="1"/>
        <w:rPr>
          <w:rFonts w:hint="eastAsia" w:ascii="仿宋_GB2312" w:hAnsi="仿宋_GB2312" w:eastAsia="仿宋_GB2312" w:cs="仿宋_GB2312"/>
          <w:color w:val="auto"/>
          <w:sz w:val="32"/>
          <w:szCs w:val="32"/>
          <w:lang w:val="en-US" w:eastAsia="zh-CN"/>
        </w:rPr>
      </w:pPr>
    </w:p>
    <w:p>
      <w:pPr>
        <w:pStyle w:val="2"/>
        <w:rPr>
          <w:rFonts w:hint="eastAsia" w:ascii="仿宋_GB2312" w:hAnsi="仿宋_GB2312" w:eastAsia="仿宋_GB2312" w:cs="仿宋_GB2312"/>
          <w:color w:val="auto"/>
          <w:sz w:val="32"/>
          <w:szCs w:val="32"/>
          <w:lang w:val="en-US" w:eastAsia="zh-CN"/>
        </w:rPr>
      </w:pPr>
    </w:p>
    <w:p>
      <w:pPr>
        <w:pStyle w:val="3"/>
        <w:rPr>
          <w:rFonts w:hint="eastAsia" w:ascii="仿宋_GB2312" w:hAnsi="仿宋_GB2312" w:eastAsia="仿宋_GB2312" w:cs="仿宋_GB2312"/>
          <w:color w:val="auto"/>
          <w:sz w:val="32"/>
          <w:szCs w:val="32"/>
          <w:lang w:val="en-US" w:eastAsia="zh-CN"/>
        </w:rPr>
      </w:pPr>
    </w:p>
    <w:p>
      <w:pPr>
        <w:pStyle w:val="3"/>
        <w:rPr>
          <w:rFonts w:hint="eastAsia" w:ascii="仿宋_GB2312" w:hAnsi="仿宋_GB2312" w:eastAsia="仿宋_GB2312" w:cs="仿宋_GB2312"/>
          <w:color w:val="auto"/>
          <w:sz w:val="32"/>
          <w:szCs w:val="32"/>
          <w:lang w:val="en-US" w:eastAsia="zh-CN"/>
        </w:rPr>
      </w:pPr>
    </w:p>
    <w:p>
      <w:pPr>
        <w:pStyle w:val="3"/>
        <w:rPr>
          <w:rFonts w:hint="eastAsia" w:ascii="仿宋_GB2312" w:hAnsi="仿宋_GB2312" w:eastAsia="仿宋_GB2312" w:cs="仿宋_GB2312"/>
          <w:color w:val="auto"/>
          <w:sz w:val="32"/>
          <w:szCs w:val="32"/>
          <w:lang w:val="en-US" w:eastAsia="zh-CN"/>
        </w:rPr>
      </w:pPr>
    </w:p>
    <w:p>
      <w:pPr>
        <w:pStyle w:val="3"/>
        <w:rPr>
          <w:rFonts w:hint="eastAsia" w:ascii="仿宋_GB2312" w:hAnsi="仿宋_GB2312" w:eastAsia="仿宋_GB2312" w:cs="仿宋_GB2312"/>
          <w:color w:val="auto"/>
          <w:sz w:val="32"/>
          <w:szCs w:val="32"/>
          <w:lang w:val="en-US" w:eastAsia="zh-CN"/>
        </w:rPr>
      </w:pPr>
    </w:p>
    <w:p>
      <w:pPr>
        <w:pStyle w:val="3"/>
        <w:rPr>
          <w:rFonts w:hint="eastAsia" w:ascii="仿宋_GB2312" w:hAnsi="仿宋_GB2312" w:eastAsia="仿宋_GB2312" w:cs="仿宋_GB2312"/>
          <w:color w:val="auto"/>
          <w:sz w:val="32"/>
          <w:szCs w:val="32"/>
          <w:lang w:val="en-US" w:eastAsia="zh-CN"/>
        </w:rPr>
      </w:pPr>
    </w:p>
    <w:p>
      <w:pPr>
        <w:pStyle w:val="3"/>
        <w:rPr>
          <w:rFonts w:hint="eastAsia" w:ascii="仿宋_GB2312" w:hAnsi="仿宋_GB2312" w:eastAsia="仿宋_GB2312" w:cs="仿宋_GB2312"/>
          <w:color w:val="auto"/>
          <w:sz w:val="32"/>
          <w:szCs w:val="32"/>
          <w:lang w:val="en-US" w:eastAsia="zh-CN"/>
        </w:rPr>
      </w:pPr>
    </w:p>
    <w:p>
      <w:pPr>
        <w:pStyle w:val="3"/>
        <w:rPr>
          <w:rFonts w:hint="eastAsia" w:ascii="仿宋_GB2312" w:hAnsi="仿宋_GB2312" w:eastAsia="仿宋_GB2312" w:cs="仿宋_GB2312"/>
          <w:color w:val="auto"/>
          <w:sz w:val="32"/>
          <w:szCs w:val="32"/>
          <w:lang w:val="en-US" w:eastAsia="zh-CN"/>
        </w:rPr>
      </w:pPr>
    </w:p>
    <w:p>
      <w:pPr>
        <w:pStyle w:val="3"/>
        <w:rPr>
          <w:rFonts w:hint="eastAsia" w:ascii="仿宋_GB2312" w:hAnsi="仿宋_GB2312" w:eastAsia="仿宋_GB2312" w:cs="仿宋_GB2312"/>
          <w:color w:val="auto"/>
          <w:sz w:val="32"/>
          <w:szCs w:val="32"/>
          <w:lang w:val="en-US" w:eastAsia="zh-CN"/>
        </w:rPr>
      </w:pPr>
    </w:p>
    <w:p>
      <w:pPr>
        <w:pStyle w:val="3"/>
        <w:rPr>
          <w:rFonts w:hint="eastAsia" w:ascii="仿宋_GB2312" w:hAnsi="仿宋_GB2312" w:eastAsia="仿宋_GB2312" w:cs="仿宋_GB2312"/>
          <w:color w:val="auto"/>
          <w:sz w:val="32"/>
          <w:szCs w:val="32"/>
          <w:lang w:val="en-US" w:eastAsia="zh-CN"/>
        </w:rPr>
      </w:pPr>
    </w:p>
    <w:p>
      <w:pPr>
        <w:pStyle w:val="3"/>
        <w:rPr>
          <w:rFonts w:hint="eastAsia" w:ascii="仿宋_GB2312" w:hAnsi="仿宋_GB2312" w:eastAsia="仿宋_GB2312" w:cs="仿宋_GB2312"/>
          <w:color w:val="auto"/>
          <w:sz w:val="32"/>
          <w:szCs w:val="32"/>
          <w:lang w:val="en-US" w:eastAsia="zh-CN"/>
        </w:rPr>
      </w:pPr>
    </w:p>
    <w:p>
      <w:pPr>
        <w:pStyle w:val="3"/>
        <w:rPr>
          <w:rFonts w:hint="eastAsia" w:ascii="仿宋_GB2312" w:hAnsi="仿宋_GB2312" w:eastAsia="仿宋_GB2312" w:cs="仿宋_GB2312"/>
          <w:color w:val="auto"/>
          <w:sz w:val="32"/>
          <w:szCs w:val="32"/>
          <w:lang w:val="en-US" w:eastAsia="zh-CN"/>
        </w:rPr>
      </w:pPr>
    </w:p>
    <w:p>
      <w:pPr>
        <w:pStyle w:val="3"/>
        <w:rPr>
          <w:rFonts w:hint="eastAsia" w:ascii="仿宋_GB2312" w:hAnsi="仿宋_GB2312" w:eastAsia="仿宋_GB2312" w:cs="仿宋_GB2312"/>
          <w:color w:val="auto"/>
          <w:sz w:val="32"/>
          <w:szCs w:val="32"/>
          <w:lang w:val="en-US" w:eastAsia="zh-CN"/>
        </w:rPr>
      </w:pPr>
    </w:p>
    <w:p>
      <w:pPr>
        <w:pStyle w:val="3"/>
        <w:rPr>
          <w:rFonts w:hint="eastAsia" w:ascii="仿宋_GB2312" w:hAnsi="仿宋_GB2312" w:eastAsia="仿宋_GB2312" w:cs="仿宋_GB2312"/>
          <w:color w:val="auto"/>
          <w:sz w:val="32"/>
          <w:szCs w:val="32"/>
          <w:lang w:val="en-US" w:eastAsia="zh-CN"/>
        </w:rPr>
      </w:pPr>
    </w:p>
    <w:p>
      <w:pPr>
        <w:pStyle w:val="3"/>
        <w:rPr>
          <w:rFonts w:hint="eastAsia" w:ascii="仿宋_GB2312" w:hAnsi="仿宋_GB2312" w:eastAsia="仿宋_GB2312" w:cs="仿宋_GB2312"/>
          <w:color w:val="auto"/>
          <w:sz w:val="32"/>
          <w:szCs w:val="32"/>
          <w:lang w:val="en-US" w:eastAsia="zh-CN"/>
        </w:rPr>
      </w:pPr>
    </w:p>
    <w:p>
      <w:pPr>
        <w:pStyle w:val="3"/>
        <w:rPr>
          <w:rFonts w:hint="eastAsia" w:ascii="仿宋_GB2312" w:hAnsi="仿宋_GB2312" w:eastAsia="仿宋_GB2312" w:cs="仿宋_GB2312"/>
          <w:color w:val="auto"/>
          <w:sz w:val="32"/>
          <w:szCs w:val="32"/>
          <w:lang w:val="en-US" w:eastAsia="zh-CN"/>
        </w:rPr>
      </w:pPr>
    </w:p>
    <w:p>
      <w:pPr>
        <w:pStyle w:val="3"/>
        <w:rPr>
          <w:rFonts w:hint="eastAsia" w:ascii="仿宋_GB2312" w:hAnsi="仿宋_GB2312" w:eastAsia="仿宋_GB2312" w:cs="仿宋_GB2312"/>
          <w:color w:val="auto"/>
          <w:sz w:val="32"/>
          <w:szCs w:val="32"/>
          <w:lang w:val="en-US" w:eastAsia="zh-CN"/>
        </w:rPr>
      </w:pPr>
    </w:p>
    <w:p>
      <w:pPr>
        <w:pStyle w:val="3"/>
        <w:ind w:left="0" w:leftChars="0" w:firstLine="0" w:firstLineChars="0"/>
        <w:rPr>
          <w:rFonts w:hint="eastAsia" w:ascii="仿宋_GB2312" w:hAnsi="仿宋_GB2312" w:eastAsia="仿宋_GB2312" w:cs="仿宋_GB2312"/>
          <w:color w:val="auto"/>
          <w:sz w:val="32"/>
          <w:szCs w:val="32"/>
          <w:lang w:val="en-US" w:eastAsia="zh-CN"/>
        </w:rPr>
      </w:pPr>
    </w:p>
    <w:p>
      <w:pPr>
        <w:pStyle w:val="3"/>
        <w:ind w:left="0" w:leftChars="0" w:firstLine="0" w:firstLineChars="0"/>
        <w:rPr>
          <w:rFonts w:hint="eastAsia" w:ascii="仿宋_GB2312" w:hAnsi="仿宋_GB2312" w:eastAsia="仿宋_GB2312" w:cs="仿宋_GB2312"/>
          <w:color w:val="auto"/>
          <w:sz w:val="32"/>
          <w:szCs w:val="32"/>
          <w:lang w:val="en-US" w:eastAsia="zh-CN"/>
        </w:rPr>
      </w:pPr>
    </w:p>
    <w:p>
      <w:pPr>
        <w:pStyle w:val="3"/>
        <w:ind w:left="0" w:leftChars="0" w:firstLine="0" w:firstLineChars="0"/>
        <w:rPr>
          <w:rFonts w:hint="eastAsia"/>
        </w:rPr>
      </w:pPr>
      <w:r>
        <w:rPr>
          <w:rFonts w:hint="eastAsia" w:ascii="仿宋_GB2312" w:hAnsi="仿宋_GB2312" w:eastAsia="仿宋_GB2312" w:cs="仿宋_GB2312"/>
          <w:color w:val="auto"/>
          <w:sz w:val="32"/>
          <w:szCs w:val="32"/>
          <w:lang w:val="en-US" w:eastAsia="zh-CN"/>
        </w:rPr>
        <w:tab/>
      </w:r>
    </w:p>
    <w:p>
      <w:pPr>
        <w:pStyle w:val="6"/>
        <w:rPr>
          <w:rFonts w:hint="eastAsia"/>
        </w:rPr>
      </w:pPr>
    </w:p>
    <w:p>
      <w:pPr>
        <w:spacing w:line="560" w:lineRule="exact"/>
        <w:ind w:left="31680" w:leftChars="100" w:hangingChars="400" w:firstLine="31680"/>
        <w:rPr>
          <w:rFonts w:ascii="仿宋_GB2312" w:eastAsia="仿宋_GB2312"/>
          <w:w w:val="95"/>
          <w:sz w:val="28"/>
          <w:szCs w:val="28"/>
        </w:rPr>
      </w:pPr>
      <w:r>
        <w:rPr>
          <w:w w:val="95"/>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20955</wp:posOffset>
                </wp:positionV>
                <wp:extent cx="5829300" cy="0"/>
                <wp:effectExtent l="0" t="0" r="0" b="0"/>
                <wp:wrapNone/>
                <wp:docPr id="1" name="直接连接符 1"/>
                <wp:cNvGraphicFramePr/>
                <a:graphic xmlns:a="http://schemas.openxmlformats.org/drawingml/2006/main">
                  <a:graphicData uri="http://schemas.microsoft.com/office/word/2010/wordprocessingShape">
                    <wps:wsp>
                      <wps:cNvSpPr/>
                      <wps:spPr>
                        <a:xfrm>
                          <a:off x="0" y="0"/>
                          <a:ext cx="5829300" cy="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25pt;margin-top:1.65pt;height:0pt;width:459pt;z-index:251659264;mso-width-relative:page;mso-height-relative:page;" filled="f" stroked="t" coordsize="21600,21600" o:gfxdata="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KVsY4/UAAAABgEAAA8AAAAAAAAAAQAg&#10;AAAAIgAAAGRycy9kb3ducmV2LnhtbFBLAQIUABQAAAAIAIdO4kA5dTaj2QEAAJcDAAAOAAAAAAAA&#10;AAEAIAAAACMBAABkcnMvZTJvRG9jLnhtbFBLBQYAAAAABgAGAFkBAABuBQAAAAA=&#10;">
                <v:fill on="f" focussize="0,0"/>
                <v:stroke weight="1.25pt" color="#000000" joinstyle="round"/>
                <v:imagedata o:title=""/>
                <o:lock v:ext="edit" aspectratio="f"/>
              </v:line>
            </w:pict>
          </mc:Fallback>
        </mc:AlternateContent>
      </w:r>
      <w:r>
        <w:rPr>
          <w:rFonts w:hint="eastAsia" w:ascii="仿宋_GB2312" w:eastAsia="仿宋_GB2312" w:cs="仿宋_GB2312"/>
          <w:w w:val="95"/>
          <w:sz w:val="28"/>
          <w:szCs w:val="28"/>
        </w:rPr>
        <w:t>抄送：</w:t>
      </w:r>
      <w:r>
        <w:rPr>
          <w:rFonts w:hint="eastAsia" w:ascii="仿宋_GB2312" w:eastAsia="仿宋_GB2312" w:cs="仿宋_GB2312"/>
          <w:spacing w:val="10"/>
          <w:w w:val="95"/>
          <w:sz w:val="28"/>
          <w:szCs w:val="28"/>
        </w:rPr>
        <w:t>县委各部</w:t>
      </w:r>
      <w:r>
        <w:rPr>
          <w:rFonts w:hint="eastAsia" w:ascii="仿宋_GB2312" w:eastAsia="仿宋_GB2312" w:cs="仿宋_GB2312"/>
          <w:spacing w:val="10"/>
          <w:w w:val="95"/>
          <w:sz w:val="28"/>
          <w:szCs w:val="28"/>
          <w:lang w:eastAsia="zh-CN"/>
        </w:rPr>
        <w:t>委</w:t>
      </w:r>
      <w:r>
        <w:rPr>
          <w:rFonts w:hint="eastAsia" w:ascii="仿宋_GB2312" w:eastAsia="仿宋_GB2312" w:cs="仿宋_GB2312"/>
          <w:spacing w:val="10"/>
          <w:w w:val="95"/>
          <w:sz w:val="28"/>
          <w:szCs w:val="28"/>
        </w:rPr>
        <w:t>，县人大办，县政协办，县武装部，县法院，</w:t>
      </w:r>
      <w:r>
        <w:rPr>
          <w:rFonts w:hint="eastAsia" w:ascii="仿宋_GB2312" w:eastAsia="仿宋_GB2312" w:cs="仿宋_GB2312"/>
          <w:w w:val="95"/>
          <w:sz w:val="28"/>
          <w:szCs w:val="28"/>
        </w:rPr>
        <w:t>县检察院。</w:t>
      </w:r>
    </w:p>
    <w:p>
      <w:pPr>
        <w:spacing w:line="560" w:lineRule="exact"/>
        <w:ind w:firstLine="31680" w:firstLineChars="100"/>
        <w:jc w:val="left"/>
        <w:rPr>
          <w:rFonts w:hint="eastAsia" w:ascii="仿宋_GB2312" w:hAnsi="仿宋_GB2312" w:eastAsia="仿宋_GB2312" w:cs="仿宋_GB2312"/>
          <w:color w:val="auto"/>
          <w:sz w:val="32"/>
          <w:szCs w:val="32"/>
          <w:lang w:eastAsia="zh-CN"/>
        </w:rPr>
      </w:pPr>
      <w:r>
        <mc:AlternateContent>
          <mc:Choice Requires="wps">
            <w:drawing>
              <wp:anchor distT="0" distB="0" distL="114300" distR="114300" simplePos="0" relativeHeight="251658240" behindDoc="0" locked="0" layoutInCell="1" allowOverlap="1">
                <wp:simplePos x="0" y="0"/>
                <wp:positionH relativeFrom="column">
                  <wp:posOffset>-38100</wp:posOffset>
                </wp:positionH>
                <wp:positionV relativeFrom="paragraph">
                  <wp:posOffset>372110</wp:posOffset>
                </wp:positionV>
                <wp:extent cx="5829300" cy="0"/>
                <wp:effectExtent l="0" t="0" r="0" b="0"/>
                <wp:wrapNone/>
                <wp:docPr id="2" name="直接连接符 2"/>
                <wp:cNvGraphicFramePr/>
                <a:graphic xmlns:a="http://schemas.openxmlformats.org/drawingml/2006/main">
                  <a:graphicData uri="http://schemas.microsoft.com/office/word/2010/wordprocessingShape">
                    <wps:wsp>
                      <wps:cNvSpPr/>
                      <wps:spPr>
                        <a:xfrm>
                          <a:off x="0" y="0"/>
                          <a:ext cx="5829300" cy="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pt;margin-top:29.3pt;height:0pt;width:459pt;z-index:251658240;mso-width-relative:page;mso-height-relative:page;" filled="f" stroked="t" coordsize="21600,21600" o:gfxdata="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lqwe29cAAAAIAQAADwAAAAAA&#10;AAABACAAAAAiAAAAZHJzL2Rvd25yZXYueG1sUEsBAhQAFAAAAAgAh07iQJK4URzbAQAAlwMAAA4A&#10;AAAAAAAAAQAgAAAAJgEAAGRycy9lMm9Eb2MueG1sUEsFBgAAAAAGAAYAWQEAAHMFAAAAAA==&#10;">
                <v:fill on="f" focussize="0,0"/>
                <v:stroke weight="1.25pt" color="#000000" joinstyle="round"/>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31115</wp:posOffset>
                </wp:positionV>
                <wp:extent cx="5829300" cy="0"/>
                <wp:effectExtent l="0" t="0" r="0" b="0"/>
                <wp:wrapNone/>
                <wp:docPr id="4" name="直接连接符 4"/>
                <wp:cNvGraphicFramePr/>
                <a:graphic xmlns:a="http://schemas.openxmlformats.org/drawingml/2006/main">
                  <a:graphicData uri="http://schemas.microsoft.com/office/word/2010/wordprocessingShape">
                    <wps:wsp>
                      <wps:cNvSpPr/>
                      <wps:spPr>
                        <a:xfrm>
                          <a:off x="0" y="0"/>
                          <a:ext cx="58293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5pt;margin-top:2.45pt;height:0pt;width:459pt;z-index:251660288;mso-width-relative:page;mso-height-relative:page;" filled="f" stroked="t" coordsize="21600,21600" o:gfxdata="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rsAZ79QAAAAGAQAADwAAAAAAAAAB&#10;ACAAAAAiAAAAZHJzL2Rvd25yZXYueG1sUEsBAhQAFAAAAAgAh07iQO9TgvfbAQAAlgMAAA4AAAAA&#10;AAAAAQAgAAAAIwEAAGRycy9lMm9Eb2MueG1sUEsFBgAAAAAGAAYAWQEAAHAFAAAAAA==&#10;">
                <v:fill on="f" focussize="0,0"/>
                <v:stroke color="#000000" joinstyle="round"/>
                <v:imagedata o:title=""/>
                <o:lock v:ext="edit" aspectratio="f"/>
              </v:line>
            </w:pict>
          </mc:Fallback>
        </mc:AlternateContent>
      </w:r>
      <w:r>
        <w:rPr>
          <w:rFonts w:hint="eastAsia" w:ascii="仿宋_GB2312" w:eastAsia="仿宋_GB2312" w:cs="仿宋_GB2312"/>
          <w:spacing w:val="10"/>
          <w:sz w:val="28"/>
          <w:szCs w:val="28"/>
        </w:rPr>
        <w:t>延津县人民政府办公室</w:t>
      </w:r>
      <w:r>
        <w:rPr>
          <w:rFonts w:ascii="仿宋_GB2312" w:eastAsia="仿宋_GB2312" w:cs="仿宋_GB2312"/>
          <w:spacing w:val="10"/>
          <w:sz w:val="28"/>
          <w:szCs w:val="28"/>
        </w:rPr>
        <w:t xml:space="preserve">                 202</w:t>
      </w:r>
      <w:r>
        <w:rPr>
          <w:rFonts w:hint="eastAsia" w:ascii="仿宋_GB2312" w:eastAsia="仿宋_GB2312" w:cs="仿宋_GB2312"/>
          <w:spacing w:val="10"/>
          <w:sz w:val="28"/>
          <w:szCs w:val="28"/>
          <w:lang w:val="en-US" w:eastAsia="zh-CN"/>
        </w:rPr>
        <w:t>2</w:t>
      </w:r>
      <w:r>
        <w:rPr>
          <w:rFonts w:hint="eastAsia" w:ascii="仿宋_GB2312" w:eastAsia="仿宋_GB2312" w:cs="仿宋_GB2312"/>
          <w:spacing w:val="10"/>
          <w:sz w:val="28"/>
          <w:szCs w:val="28"/>
        </w:rPr>
        <w:t>年</w:t>
      </w:r>
      <w:r>
        <w:rPr>
          <w:rFonts w:hint="eastAsia" w:ascii="仿宋_GB2312" w:eastAsia="仿宋_GB2312" w:cs="仿宋_GB2312"/>
          <w:spacing w:val="10"/>
          <w:sz w:val="28"/>
          <w:szCs w:val="28"/>
          <w:lang w:val="en-US" w:eastAsia="zh-CN"/>
        </w:rPr>
        <w:t>5</w:t>
      </w:r>
      <w:r>
        <w:rPr>
          <w:rFonts w:hint="eastAsia" w:ascii="仿宋_GB2312" w:eastAsia="仿宋_GB2312" w:cs="仿宋_GB2312"/>
          <w:spacing w:val="10"/>
          <w:sz w:val="28"/>
          <w:szCs w:val="28"/>
        </w:rPr>
        <w:t>月</w:t>
      </w:r>
      <w:r>
        <w:rPr>
          <w:rFonts w:hint="eastAsia" w:ascii="仿宋_GB2312" w:eastAsia="仿宋_GB2312" w:cs="仿宋_GB2312"/>
          <w:spacing w:val="10"/>
          <w:sz w:val="28"/>
          <w:szCs w:val="28"/>
          <w:lang w:val="en-US" w:eastAsia="zh-CN"/>
        </w:rPr>
        <w:t>16</w:t>
      </w:r>
      <w:r>
        <w:rPr>
          <w:rFonts w:hint="eastAsia" w:ascii="仿宋_GB2312" w:eastAsia="仿宋_GB2312" w:cs="仿宋_GB2312"/>
          <w:spacing w:val="10"/>
          <w:sz w:val="28"/>
          <w:szCs w:val="28"/>
        </w:rPr>
        <w:t>日印发</w:t>
      </w:r>
    </w:p>
    <w:p>
      <w:pPr>
        <w:keepNext w:val="0"/>
        <w:keepLines w:val="0"/>
        <w:pageBreakBefore w:val="0"/>
        <w:tabs>
          <w:tab w:val="left" w:pos="2893"/>
        </w:tabs>
        <w:wordWrap/>
        <w:overflowPunct/>
        <w:topLinePunct w:val="0"/>
        <w:bidi w:val="0"/>
        <w:spacing w:beforeAutospacing="0" w:afterAutospacing="0" w:line="560" w:lineRule="exact"/>
        <w:jc w:val="left"/>
        <w:rPr>
          <w:rFonts w:hint="eastAsia" w:ascii="仿宋_GB2312" w:hAnsi="仿宋_GB2312" w:eastAsia="仿宋_GB2312" w:cs="仿宋_GB2312"/>
          <w:color w:val="auto"/>
          <w:sz w:val="32"/>
          <w:szCs w:val="32"/>
          <w:lang w:val="en-US" w:eastAsia="zh-CN"/>
        </w:rPr>
      </w:pPr>
    </w:p>
    <w:sectPr>
      <w:footerReference r:id="rId3" w:type="default"/>
      <w:pgSz w:w="11906" w:h="16838"/>
      <w:pgMar w:top="1984" w:right="1417" w:bottom="1814" w:left="141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文星标宋">
    <w:panose1 w:val="0201060900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书宋_GBK">
    <w:altName w:val="微软雅黑"/>
    <w:panose1 w:val="02000000000000000000"/>
    <w:charset w:val="86"/>
    <w:family w:val="auto"/>
    <w:pitch w:val="default"/>
    <w:sig w:usb0="00000000" w:usb1="00000000" w:usb2="00000000" w:usb3="00000000" w:csb0="00040000" w:csb1="00000000"/>
  </w:font>
  <w:font w:name="Nimbus Roman No9 L">
    <w:altName w:val="Segoe Print"/>
    <w:panose1 w:val="00000000000000000000"/>
    <w:charset w:val="00"/>
    <w:family w:val="auto"/>
    <w:pitch w:val="default"/>
    <w:sig w:usb0="00000000" w:usb1="00000000" w:usb2="00000000" w:usb3="00000000" w:csb0="00000000" w:csb1="00000000"/>
  </w:font>
  <w:font w:name="方正宋体S-超大字符集">
    <w:altName w:val="宋体"/>
    <w:panose1 w:val="02000000000000000000"/>
    <w:charset w:val="86"/>
    <w:family w:val="auto"/>
    <w:pitch w:val="default"/>
    <w:sig w:usb0="00000000" w:usb1="00000000" w:usb2="00000000" w:usb3="00000000" w:csb0="00040000" w:csb1="00000000"/>
  </w:font>
  <w:font w:name="FreeSerif">
    <w:altName w:val="Times"/>
    <w:panose1 w:val="02020603050405020304"/>
    <w:charset w:val="00"/>
    <w:family w:val="auto"/>
    <w:pitch w:val="default"/>
    <w:sig w:usb0="00000000" w:usb1="00000000" w:usb2="43501B29" w:usb3="04000043" w:csb0="600101FF" w:csb1="FFFF0000"/>
  </w:font>
  <w:font w:name="等线">
    <w:altName w:val="楷体_GB2312"/>
    <w:panose1 w:val="02010600030101010101"/>
    <w:charset w:val="00"/>
    <w:family w:val="auto"/>
    <w:pitch w:val="default"/>
    <w:sig w:usb0="00000000" w:usb1="00000000" w:usb2="00000016" w:usb3="00000000" w:csb0="0004000F" w:csb1="00000000"/>
  </w:font>
  <w:font w:name="DejaVu Sans">
    <w:altName w:val="Segoe Print"/>
    <w:panose1 w:val="020B0603030804020204"/>
    <w:charset w:val="00"/>
    <w:family w:val="auto"/>
    <w:pitch w:val="default"/>
    <w:sig w:usb0="00000000" w:usb1="00000000" w:usb2="0A246029" w:usb3="0400200C" w:csb0="600001FF" w:csb1="DFFF0000"/>
  </w:font>
  <w:font w:name="华文仿宋">
    <w:altName w:val="仿宋"/>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Times">
    <w:panose1 w:val="02020603050405020304"/>
    <w:charset w:val="00"/>
    <w:family w:val="auto"/>
    <w:pitch w:val="default"/>
    <w:sig w:usb0="00000007" w:usb1="00000000" w:usb2="00000000" w:usb3="00000000" w:csb0="00000093" w:csb1="00000000"/>
  </w:font>
  <w:font w:name="楷体_GB2312">
    <w:panose1 w:val="02010609030101010101"/>
    <w:charset w:val="00"/>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仿宋_GB2312">
    <w:panose1 w:val="02010609030101010101"/>
    <w:charset w:val="86"/>
    <w:family w:val="roman"/>
    <w:pitch w:val="default"/>
    <w:sig w:usb0="00000001" w:usb1="080E0000" w:usb2="00000000" w:usb3="00000000" w:csb0="00040000" w:csb1="00000000"/>
  </w:font>
  <w:font w:name="??">
    <w:altName w:val="Segoe Print"/>
    <w:panose1 w:val="00000000000000000000"/>
    <w:charset w:val="00"/>
    <w:family w:val="auto"/>
    <w:pitch w:val="default"/>
    <w:sig w:usb0="00000000" w:usb1="00000000" w:usb2="00000000" w:usb3="00000000" w:csb0="00000001" w:csb1="00000000"/>
  </w:font>
  <w:font w:name="Cambria">
    <w:panose1 w:val="02040503050406030204"/>
    <w:charset w:val="00"/>
    <w:family w:val="roman"/>
    <w:pitch w:val="default"/>
    <w:sig w:usb0="E00002FF" w:usb1="400004FF" w:usb2="00000000" w:usb3="00000000" w:csb0="2000019F" w:csb1="00000000"/>
  </w:font>
  <w:font w:name="文星标宋">
    <w:panose1 w:val="02010609000101010101"/>
    <w:charset w:val="86"/>
    <w:family w:val="modern"/>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文星黑体">
    <w:panose1 w:val="02010609000101010101"/>
    <w:charset w:val="86"/>
    <w:family w:val="auto"/>
    <w:pitch w:val="default"/>
    <w:sig w:usb0="00000001" w:usb1="080E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DejaVu Math TeX Gyre">
    <w:altName w:val="Mangal"/>
    <w:panose1 w:val="02000503000000000000"/>
    <w:charset w:val="00"/>
    <w:family w:val="auto"/>
    <w:pitch w:val="default"/>
    <w:sig w:usb0="00000000" w:usb1="00000000" w:usb2="02000000" w:usb3="00000000" w:csb0="60000193" w:csb1="0DD40000"/>
  </w:font>
  <w:font w:name="华文彩云">
    <w:altName w:val="微软雅黑"/>
    <w:panose1 w:val="02010800040101010101"/>
    <w:charset w:val="86"/>
    <w:family w:val="auto"/>
    <w:pitch w:val="default"/>
    <w:sig w:usb0="00000000" w:usb1="00000000" w:usb2="00000000" w:usb3="00000000" w:csb0="00040000" w:csb1="00000000"/>
  </w:font>
  <w:font w:name="Mangal">
    <w:panose1 w:val="02040503050203030202"/>
    <w:charset w:val="00"/>
    <w:family w:val="auto"/>
    <w:pitch w:val="default"/>
    <w:sig w:usb0="00008003" w:usb1="00000000" w:usb2="00000000" w:usb3="00000000" w:csb0="00000001" w:csb1="00000000"/>
  </w:font>
  <w:font w:name="CG Times">
    <w:panose1 w:val="02020603050405020304"/>
    <w:charset w:val="00"/>
    <w:family w:val="auto"/>
    <w:pitch w:val="default"/>
    <w:sig w:usb0="00000007" w:usb1="00000000" w:usb2="00000000" w:usb3="00000000" w:csb0="00000093" w:csb1="00000000"/>
  </w:font>
  <w:font w:name="Arial">
    <w:panose1 w:val="020B0604020202020204"/>
    <w:charset w:val="00"/>
    <w:family w:val="auto"/>
    <w:pitch w:val="default"/>
    <w:sig w:usb0="E0002AFF" w:usb1="C0007843" w:usb2="00000009" w:usb3="00000000" w:csb0="400001FF" w:csb1="FFFF0000"/>
  </w:font>
  <w:font w:name="方正小标宋_GBK">
    <w:altName w:val="微软雅黑"/>
    <w:panose1 w:val="02000000000000000000"/>
    <w:charset w:val="86"/>
    <w:family w:val="auto"/>
    <w:pitch w:val="default"/>
    <w:sig w:usb0="00000000" w:usb1="0000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楷体">
    <w:altName w:val="楷体_GB2312"/>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tabs>
        <w:tab w:val="left" w:pos="4586"/>
      </w:tabs>
      <w:spacing w:line="182" w:lineRule="exact"/>
      <w:ind w:firstLine="7796"/>
      <w:rPr>
        <w:rFonts w:ascii="宋体" w:hAnsi="宋体" w:eastAsia="宋体" w:cs="宋体"/>
        <w:sz w:val="26"/>
        <w:szCs w:val="26"/>
      </w:rPr>
    </w:pPr>
    <w:r>
      <w:rPr>
        <w:sz w:val="26"/>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r>
      <w:rPr>
        <w:rFonts w:hint="eastAsia" w:ascii="宋体" w:hAnsi="宋体" w:cs="宋体"/>
        <w:sz w:val="26"/>
        <w:szCs w:val="26"/>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C3555"/>
    <w:rsid w:val="004955CB"/>
    <w:rsid w:val="00650DDF"/>
    <w:rsid w:val="00723BC9"/>
    <w:rsid w:val="00C13A64"/>
    <w:rsid w:val="01807BA1"/>
    <w:rsid w:val="01973610"/>
    <w:rsid w:val="01B6306B"/>
    <w:rsid w:val="01CA3E9D"/>
    <w:rsid w:val="02273EB9"/>
    <w:rsid w:val="02A30F73"/>
    <w:rsid w:val="02D176EC"/>
    <w:rsid w:val="02DD5948"/>
    <w:rsid w:val="032B3FE7"/>
    <w:rsid w:val="03B81208"/>
    <w:rsid w:val="03BA251D"/>
    <w:rsid w:val="03C9320C"/>
    <w:rsid w:val="03F64CDD"/>
    <w:rsid w:val="045E378A"/>
    <w:rsid w:val="04A10CD3"/>
    <w:rsid w:val="04E00CE4"/>
    <w:rsid w:val="05AE4690"/>
    <w:rsid w:val="05C249C0"/>
    <w:rsid w:val="0634558F"/>
    <w:rsid w:val="06444FCD"/>
    <w:rsid w:val="070836C2"/>
    <w:rsid w:val="07573882"/>
    <w:rsid w:val="077816BF"/>
    <w:rsid w:val="083A4236"/>
    <w:rsid w:val="08640EBC"/>
    <w:rsid w:val="08F14B43"/>
    <w:rsid w:val="09085DE4"/>
    <w:rsid w:val="0922774C"/>
    <w:rsid w:val="09463A48"/>
    <w:rsid w:val="09F0600C"/>
    <w:rsid w:val="09F24B8E"/>
    <w:rsid w:val="09FD4C96"/>
    <w:rsid w:val="0A4F5392"/>
    <w:rsid w:val="0A703AFF"/>
    <w:rsid w:val="0A99791C"/>
    <w:rsid w:val="0B101463"/>
    <w:rsid w:val="0CB328F2"/>
    <w:rsid w:val="0CC06908"/>
    <w:rsid w:val="0CD23B0A"/>
    <w:rsid w:val="0CF24535"/>
    <w:rsid w:val="0DC04F7E"/>
    <w:rsid w:val="0DF54DFD"/>
    <w:rsid w:val="0EFB232B"/>
    <w:rsid w:val="0F206A30"/>
    <w:rsid w:val="0F430E9A"/>
    <w:rsid w:val="0F7B0E00"/>
    <w:rsid w:val="0FAA41FB"/>
    <w:rsid w:val="0FCB1598"/>
    <w:rsid w:val="0FFE44D7"/>
    <w:rsid w:val="10B012C2"/>
    <w:rsid w:val="114A11E6"/>
    <w:rsid w:val="11530882"/>
    <w:rsid w:val="11EA2C1D"/>
    <w:rsid w:val="123F493F"/>
    <w:rsid w:val="12BE19BD"/>
    <w:rsid w:val="13596FCB"/>
    <w:rsid w:val="13AD6361"/>
    <w:rsid w:val="141525D1"/>
    <w:rsid w:val="146F7A01"/>
    <w:rsid w:val="14E90F4C"/>
    <w:rsid w:val="14EA3BD5"/>
    <w:rsid w:val="15036FD8"/>
    <w:rsid w:val="1550015D"/>
    <w:rsid w:val="15DD10BC"/>
    <w:rsid w:val="15EE7D7F"/>
    <w:rsid w:val="16DB83E7"/>
    <w:rsid w:val="172D2EA8"/>
    <w:rsid w:val="178E1B93"/>
    <w:rsid w:val="18013146"/>
    <w:rsid w:val="180C2049"/>
    <w:rsid w:val="186822DC"/>
    <w:rsid w:val="189050CE"/>
    <w:rsid w:val="18947338"/>
    <w:rsid w:val="18AD25FE"/>
    <w:rsid w:val="18D54C89"/>
    <w:rsid w:val="19A40F52"/>
    <w:rsid w:val="1A8E35D4"/>
    <w:rsid w:val="1A965E0F"/>
    <w:rsid w:val="1AC041B9"/>
    <w:rsid w:val="1B543B1E"/>
    <w:rsid w:val="1BC84BD6"/>
    <w:rsid w:val="1BF52B4A"/>
    <w:rsid w:val="1C4B743F"/>
    <w:rsid w:val="1D202B13"/>
    <w:rsid w:val="1D37160F"/>
    <w:rsid w:val="1D4454C5"/>
    <w:rsid w:val="1D53F1BB"/>
    <w:rsid w:val="1D81427B"/>
    <w:rsid w:val="1D827094"/>
    <w:rsid w:val="1E200F9B"/>
    <w:rsid w:val="1E5D34B3"/>
    <w:rsid w:val="1E821C66"/>
    <w:rsid w:val="1ED65F07"/>
    <w:rsid w:val="1EFF9BDD"/>
    <w:rsid w:val="1F1B4CBA"/>
    <w:rsid w:val="1F3D2C08"/>
    <w:rsid w:val="1FCA3857"/>
    <w:rsid w:val="1FCB3AB8"/>
    <w:rsid w:val="1FD59A2D"/>
    <w:rsid w:val="202B5584"/>
    <w:rsid w:val="20332EB8"/>
    <w:rsid w:val="20346C75"/>
    <w:rsid w:val="20414183"/>
    <w:rsid w:val="20992A5C"/>
    <w:rsid w:val="21307C58"/>
    <w:rsid w:val="217D0382"/>
    <w:rsid w:val="21C37F49"/>
    <w:rsid w:val="224F6B83"/>
    <w:rsid w:val="228313B4"/>
    <w:rsid w:val="22B50043"/>
    <w:rsid w:val="22B56028"/>
    <w:rsid w:val="22D43C1E"/>
    <w:rsid w:val="22E17108"/>
    <w:rsid w:val="22E81928"/>
    <w:rsid w:val="23003C8B"/>
    <w:rsid w:val="237B75E2"/>
    <w:rsid w:val="2391379B"/>
    <w:rsid w:val="23EC517E"/>
    <w:rsid w:val="241268E6"/>
    <w:rsid w:val="241B14C4"/>
    <w:rsid w:val="24863C03"/>
    <w:rsid w:val="24C75CB3"/>
    <w:rsid w:val="25315A89"/>
    <w:rsid w:val="253943FA"/>
    <w:rsid w:val="258571E9"/>
    <w:rsid w:val="25A138EC"/>
    <w:rsid w:val="25BA3EB5"/>
    <w:rsid w:val="25E65584"/>
    <w:rsid w:val="26885709"/>
    <w:rsid w:val="26E941EB"/>
    <w:rsid w:val="2874311B"/>
    <w:rsid w:val="29292F4B"/>
    <w:rsid w:val="29B459DF"/>
    <w:rsid w:val="29D24199"/>
    <w:rsid w:val="29DE07DB"/>
    <w:rsid w:val="2A024EA4"/>
    <w:rsid w:val="2A3458A9"/>
    <w:rsid w:val="2A3A330D"/>
    <w:rsid w:val="2A470D41"/>
    <w:rsid w:val="2A6F2913"/>
    <w:rsid w:val="2AB56F79"/>
    <w:rsid w:val="2AC66C7A"/>
    <w:rsid w:val="2AD6436B"/>
    <w:rsid w:val="2B2D124F"/>
    <w:rsid w:val="2B7A3833"/>
    <w:rsid w:val="2BF95E17"/>
    <w:rsid w:val="2C507894"/>
    <w:rsid w:val="2D214A86"/>
    <w:rsid w:val="2D262DCA"/>
    <w:rsid w:val="2D2D6860"/>
    <w:rsid w:val="2D3968BA"/>
    <w:rsid w:val="2D527CF7"/>
    <w:rsid w:val="2D543027"/>
    <w:rsid w:val="2DB348EA"/>
    <w:rsid w:val="2DC27FD8"/>
    <w:rsid w:val="2E7B0BB5"/>
    <w:rsid w:val="2E951F23"/>
    <w:rsid w:val="2E9FEA22"/>
    <w:rsid w:val="2ECB5ABD"/>
    <w:rsid w:val="2F167051"/>
    <w:rsid w:val="2F5032B7"/>
    <w:rsid w:val="2FA01407"/>
    <w:rsid w:val="2FA81D3A"/>
    <w:rsid w:val="2FCD75CE"/>
    <w:rsid w:val="303D67F0"/>
    <w:rsid w:val="30886BBF"/>
    <w:rsid w:val="309D11CD"/>
    <w:rsid w:val="30F84522"/>
    <w:rsid w:val="312338F5"/>
    <w:rsid w:val="31746AF3"/>
    <w:rsid w:val="31B706A8"/>
    <w:rsid w:val="31DB7606"/>
    <w:rsid w:val="32FF5453"/>
    <w:rsid w:val="33A84FF4"/>
    <w:rsid w:val="33BD0267"/>
    <w:rsid w:val="33DF14AE"/>
    <w:rsid w:val="34A0058F"/>
    <w:rsid w:val="35553B0A"/>
    <w:rsid w:val="357D5B65"/>
    <w:rsid w:val="35CF8AAC"/>
    <w:rsid w:val="35F659E1"/>
    <w:rsid w:val="35FEAE6B"/>
    <w:rsid w:val="3613035F"/>
    <w:rsid w:val="366A0272"/>
    <w:rsid w:val="36BFBC58"/>
    <w:rsid w:val="36DF1146"/>
    <w:rsid w:val="36E176CF"/>
    <w:rsid w:val="36E66758"/>
    <w:rsid w:val="37597B20"/>
    <w:rsid w:val="37BF8DF1"/>
    <w:rsid w:val="385A0BDA"/>
    <w:rsid w:val="38657056"/>
    <w:rsid w:val="3895358A"/>
    <w:rsid w:val="38980D3D"/>
    <w:rsid w:val="38D847EE"/>
    <w:rsid w:val="38FD31F6"/>
    <w:rsid w:val="3947386A"/>
    <w:rsid w:val="395F046F"/>
    <w:rsid w:val="39D03FE5"/>
    <w:rsid w:val="39DB1411"/>
    <w:rsid w:val="39DB43B2"/>
    <w:rsid w:val="3A0008B7"/>
    <w:rsid w:val="3A153F2B"/>
    <w:rsid w:val="3AB466D9"/>
    <w:rsid w:val="3B98195C"/>
    <w:rsid w:val="3BD30FE1"/>
    <w:rsid w:val="3BFB0E86"/>
    <w:rsid w:val="3BFDD3E1"/>
    <w:rsid w:val="3C4C3861"/>
    <w:rsid w:val="3C9C7ED5"/>
    <w:rsid w:val="3CAE709A"/>
    <w:rsid w:val="3D2F19F4"/>
    <w:rsid w:val="3D5E6D65"/>
    <w:rsid w:val="3D9E3D84"/>
    <w:rsid w:val="3DEA351C"/>
    <w:rsid w:val="3E360A5B"/>
    <w:rsid w:val="3E506549"/>
    <w:rsid w:val="3F474913"/>
    <w:rsid w:val="3F4F10E9"/>
    <w:rsid w:val="3F7B6B48"/>
    <w:rsid w:val="3F7E046D"/>
    <w:rsid w:val="3FD0256F"/>
    <w:rsid w:val="3FDDCBE7"/>
    <w:rsid w:val="3FF7C594"/>
    <w:rsid w:val="40321027"/>
    <w:rsid w:val="40594C2E"/>
    <w:rsid w:val="40ED6B64"/>
    <w:rsid w:val="410452D7"/>
    <w:rsid w:val="41613462"/>
    <w:rsid w:val="41AE2846"/>
    <w:rsid w:val="41D61F3D"/>
    <w:rsid w:val="41DD78A1"/>
    <w:rsid w:val="41E23570"/>
    <w:rsid w:val="41E42874"/>
    <w:rsid w:val="428E5122"/>
    <w:rsid w:val="42CB70EF"/>
    <w:rsid w:val="42E70EAE"/>
    <w:rsid w:val="42E74E42"/>
    <w:rsid w:val="42EC4091"/>
    <w:rsid w:val="43993EB9"/>
    <w:rsid w:val="43F150B6"/>
    <w:rsid w:val="43FBD640"/>
    <w:rsid w:val="44542837"/>
    <w:rsid w:val="44C7790F"/>
    <w:rsid w:val="45016A1F"/>
    <w:rsid w:val="45142B9C"/>
    <w:rsid w:val="451B3FC3"/>
    <w:rsid w:val="456400F4"/>
    <w:rsid w:val="458B2915"/>
    <w:rsid w:val="45B25B62"/>
    <w:rsid w:val="46894D6C"/>
    <w:rsid w:val="46C411C3"/>
    <w:rsid w:val="47125ABE"/>
    <w:rsid w:val="4723152B"/>
    <w:rsid w:val="474E75FA"/>
    <w:rsid w:val="47977DDE"/>
    <w:rsid w:val="481960DE"/>
    <w:rsid w:val="48703BA8"/>
    <w:rsid w:val="48E368F1"/>
    <w:rsid w:val="4A4F73F7"/>
    <w:rsid w:val="4AA53C16"/>
    <w:rsid w:val="4B2D76A9"/>
    <w:rsid w:val="4C3D5213"/>
    <w:rsid w:val="4C8004E5"/>
    <w:rsid w:val="4C9306FA"/>
    <w:rsid w:val="4CAB3024"/>
    <w:rsid w:val="4CCB381A"/>
    <w:rsid w:val="4CD12FBF"/>
    <w:rsid w:val="4D10707B"/>
    <w:rsid w:val="4D2B555E"/>
    <w:rsid w:val="4D433BAE"/>
    <w:rsid w:val="4D6745A4"/>
    <w:rsid w:val="4DB32A9D"/>
    <w:rsid w:val="4E036A00"/>
    <w:rsid w:val="4EB02110"/>
    <w:rsid w:val="4EB843BA"/>
    <w:rsid w:val="4EDC0A6F"/>
    <w:rsid w:val="4EFE5EC8"/>
    <w:rsid w:val="4F400800"/>
    <w:rsid w:val="4FAD1B0B"/>
    <w:rsid w:val="4FB00DFC"/>
    <w:rsid w:val="4FDF639B"/>
    <w:rsid w:val="4FEB2F13"/>
    <w:rsid w:val="505021B5"/>
    <w:rsid w:val="50CF518C"/>
    <w:rsid w:val="50D87F55"/>
    <w:rsid w:val="50F66498"/>
    <w:rsid w:val="514A7E04"/>
    <w:rsid w:val="518E42F8"/>
    <w:rsid w:val="521B13A6"/>
    <w:rsid w:val="523E1183"/>
    <w:rsid w:val="528174BD"/>
    <w:rsid w:val="52CB59F9"/>
    <w:rsid w:val="52D16C31"/>
    <w:rsid w:val="52FFF10A"/>
    <w:rsid w:val="531F034C"/>
    <w:rsid w:val="538615E0"/>
    <w:rsid w:val="53900601"/>
    <w:rsid w:val="53E6C547"/>
    <w:rsid w:val="540E3B7C"/>
    <w:rsid w:val="54661C86"/>
    <w:rsid w:val="54B31766"/>
    <w:rsid w:val="54E33CF8"/>
    <w:rsid w:val="54ED3563"/>
    <w:rsid w:val="54F560D8"/>
    <w:rsid w:val="55794082"/>
    <w:rsid w:val="568A5601"/>
    <w:rsid w:val="568E69D8"/>
    <w:rsid w:val="56990195"/>
    <w:rsid w:val="56AF059E"/>
    <w:rsid w:val="56AF25DA"/>
    <w:rsid w:val="574D6976"/>
    <w:rsid w:val="5756078F"/>
    <w:rsid w:val="5764784A"/>
    <w:rsid w:val="57684AB7"/>
    <w:rsid w:val="577FF406"/>
    <w:rsid w:val="57844671"/>
    <w:rsid w:val="57A433A2"/>
    <w:rsid w:val="57B75763"/>
    <w:rsid w:val="57D74BDF"/>
    <w:rsid w:val="57E859B8"/>
    <w:rsid w:val="581816FA"/>
    <w:rsid w:val="58235EA6"/>
    <w:rsid w:val="58CC2B29"/>
    <w:rsid w:val="598E3EA4"/>
    <w:rsid w:val="59912963"/>
    <w:rsid w:val="5A911733"/>
    <w:rsid w:val="5B077D04"/>
    <w:rsid w:val="5B797CBB"/>
    <w:rsid w:val="5B7B91B1"/>
    <w:rsid w:val="5B930684"/>
    <w:rsid w:val="5BEE5898"/>
    <w:rsid w:val="5BF068CF"/>
    <w:rsid w:val="5C020F1B"/>
    <w:rsid w:val="5C143AEF"/>
    <w:rsid w:val="5C1E3906"/>
    <w:rsid w:val="5C321199"/>
    <w:rsid w:val="5CB02A74"/>
    <w:rsid w:val="5CEA0E4E"/>
    <w:rsid w:val="5CFEB5EE"/>
    <w:rsid w:val="5E2522DA"/>
    <w:rsid w:val="5EAF3E98"/>
    <w:rsid w:val="5EB03FDB"/>
    <w:rsid w:val="5EBA0429"/>
    <w:rsid w:val="5EC7D2E1"/>
    <w:rsid w:val="5ED026EF"/>
    <w:rsid w:val="5EEB48F2"/>
    <w:rsid w:val="5FBF0FC5"/>
    <w:rsid w:val="5FE6D6FD"/>
    <w:rsid w:val="5FEFC6CD"/>
    <w:rsid w:val="602C01CE"/>
    <w:rsid w:val="61EC2CA7"/>
    <w:rsid w:val="620A0C59"/>
    <w:rsid w:val="62957F8E"/>
    <w:rsid w:val="62A76964"/>
    <w:rsid w:val="633D5C5F"/>
    <w:rsid w:val="63601B43"/>
    <w:rsid w:val="6426AAE1"/>
    <w:rsid w:val="6456125A"/>
    <w:rsid w:val="645725D9"/>
    <w:rsid w:val="651A3E01"/>
    <w:rsid w:val="65620296"/>
    <w:rsid w:val="658A56CE"/>
    <w:rsid w:val="65A42043"/>
    <w:rsid w:val="65A779BB"/>
    <w:rsid w:val="65C3219C"/>
    <w:rsid w:val="65E21297"/>
    <w:rsid w:val="65EA04EB"/>
    <w:rsid w:val="66156602"/>
    <w:rsid w:val="663F59A7"/>
    <w:rsid w:val="667B5D2D"/>
    <w:rsid w:val="66835439"/>
    <w:rsid w:val="66CB1EF3"/>
    <w:rsid w:val="66CC2FC3"/>
    <w:rsid w:val="67152DC2"/>
    <w:rsid w:val="671E3D92"/>
    <w:rsid w:val="673F9D49"/>
    <w:rsid w:val="6748A627"/>
    <w:rsid w:val="677B3822"/>
    <w:rsid w:val="67976987"/>
    <w:rsid w:val="67EF0DC9"/>
    <w:rsid w:val="685447C0"/>
    <w:rsid w:val="68FE387F"/>
    <w:rsid w:val="690A1D14"/>
    <w:rsid w:val="69544884"/>
    <w:rsid w:val="69EE0C80"/>
    <w:rsid w:val="6A332B76"/>
    <w:rsid w:val="6A76238B"/>
    <w:rsid w:val="6ABD49D4"/>
    <w:rsid w:val="6ACB74A2"/>
    <w:rsid w:val="6B084463"/>
    <w:rsid w:val="6B9519C4"/>
    <w:rsid w:val="6BA50FDC"/>
    <w:rsid w:val="6BE759D6"/>
    <w:rsid w:val="6BF177D2"/>
    <w:rsid w:val="6BF42F78"/>
    <w:rsid w:val="6BFDAF88"/>
    <w:rsid w:val="6CC1788B"/>
    <w:rsid w:val="6CCE69FD"/>
    <w:rsid w:val="6D672E9B"/>
    <w:rsid w:val="6DFE5841"/>
    <w:rsid w:val="6DFF16A4"/>
    <w:rsid w:val="6E235377"/>
    <w:rsid w:val="6EA14990"/>
    <w:rsid w:val="6EDD6F87"/>
    <w:rsid w:val="6EE70BCA"/>
    <w:rsid w:val="6F0C4768"/>
    <w:rsid w:val="6F5410A7"/>
    <w:rsid w:val="6F558156"/>
    <w:rsid w:val="6F5D416F"/>
    <w:rsid w:val="6F7F992C"/>
    <w:rsid w:val="6F921A73"/>
    <w:rsid w:val="6FEF56CA"/>
    <w:rsid w:val="6FF512A0"/>
    <w:rsid w:val="6FF7A856"/>
    <w:rsid w:val="6FFC0975"/>
    <w:rsid w:val="6FFDB9FB"/>
    <w:rsid w:val="6FFFD769"/>
    <w:rsid w:val="71047D7B"/>
    <w:rsid w:val="71263CB8"/>
    <w:rsid w:val="71BBD992"/>
    <w:rsid w:val="71FA6C72"/>
    <w:rsid w:val="722A4C4A"/>
    <w:rsid w:val="72B65080"/>
    <w:rsid w:val="731C4BAC"/>
    <w:rsid w:val="74B727A0"/>
    <w:rsid w:val="74E04F83"/>
    <w:rsid w:val="75B6479E"/>
    <w:rsid w:val="767E4B73"/>
    <w:rsid w:val="76BF9BCE"/>
    <w:rsid w:val="772F980E"/>
    <w:rsid w:val="776B14A3"/>
    <w:rsid w:val="777F3ED1"/>
    <w:rsid w:val="77BCA115"/>
    <w:rsid w:val="77F90C62"/>
    <w:rsid w:val="78DE7132"/>
    <w:rsid w:val="79575C7E"/>
    <w:rsid w:val="795D16A0"/>
    <w:rsid w:val="79AA6729"/>
    <w:rsid w:val="79CE17A6"/>
    <w:rsid w:val="7A7C0C4E"/>
    <w:rsid w:val="7AA159BD"/>
    <w:rsid w:val="7AAA7CF2"/>
    <w:rsid w:val="7AD79A11"/>
    <w:rsid w:val="7ADF62BE"/>
    <w:rsid w:val="7B303ADD"/>
    <w:rsid w:val="7B757E38"/>
    <w:rsid w:val="7B8F3528"/>
    <w:rsid w:val="7BA16DF6"/>
    <w:rsid w:val="7BE37CB2"/>
    <w:rsid w:val="7BEBD282"/>
    <w:rsid w:val="7BFF9892"/>
    <w:rsid w:val="7C0872B2"/>
    <w:rsid w:val="7C9B0EE7"/>
    <w:rsid w:val="7CD61126"/>
    <w:rsid w:val="7CEC29BE"/>
    <w:rsid w:val="7D7A1A90"/>
    <w:rsid w:val="7D7C6C31"/>
    <w:rsid w:val="7DDF2ED0"/>
    <w:rsid w:val="7DDFFEA5"/>
    <w:rsid w:val="7DEEADEF"/>
    <w:rsid w:val="7DF8AF75"/>
    <w:rsid w:val="7DFA394E"/>
    <w:rsid w:val="7DFE348D"/>
    <w:rsid w:val="7DFF7461"/>
    <w:rsid w:val="7E6B354E"/>
    <w:rsid w:val="7E7BFFC6"/>
    <w:rsid w:val="7E7F25D1"/>
    <w:rsid w:val="7EFC037A"/>
    <w:rsid w:val="7EFCBE26"/>
    <w:rsid w:val="7EFE314F"/>
    <w:rsid w:val="7EFF4A14"/>
    <w:rsid w:val="7F2F08F0"/>
    <w:rsid w:val="7F3B093D"/>
    <w:rsid w:val="7F6F6565"/>
    <w:rsid w:val="7F742290"/>
    <w:rsid w:val="7F7696D0"/>
    <w:rsid w:val="7F7E37F9"/>
    <w:rsid w:val="7FB7E367"/>
    <w:rsid w:val="7FBE85C4"/>
    <w:rsid w:val="7FDF03A7"/>
    <w:rsid w:val="7FE57DE9"/>
    <w:rsid w:val="7FEF1AA6"/>
    <w:rsid w:val="7FF63F86"/>
    <w:rsid w:val="7FFB1DFC"/>
    <w:rsid w:val="8637AC62"/>
    <w:rsid w:val="89728787"/>
    <w:rsid w:val="8FFED05D"/>
    <w:rsid w:val="92FF08EB"/>
    <w:rsid w:val="9BEF28C5"/>
    <w:rsid w:val="ACC69EA7"/>
    <w:rsid w:val="ADD78035"/>
    <w:rsid w:val="AFB9C424"/>
    <w:rsid w:val="AFD6E02C"/>
    <w:rsid w:val="AFEEFB9E"/>
    <w:rsid w:val="AFFD8D29"/>
    <w:rsid w:val="B3EEDDC4"/>
    <w:rsid w:val="B4FD1359"/>
    <w:rsid w:val="B9EFCA76"/>
    <w:rsid w:val="BB7FE7D4"/>
    <w:rsid w:val="BBBFD30E"/>
    <w:rsid w:val="BCFF1664"/>
    <w:rsid w:val="BFEB151F"/>
    <w:rsid w:val="BFEFB5E2"/>
    <w:rsid w:val="BFFE1F9C"/>
    <w:rsid w:val="C7AF5E5A"/>
    <w:rsid w:val="CDFBD47E"/>
    <w:rsid w:val="CEBF0416"/>
    <w:rsid w:val="D1371D94"/>
    <w:rsid w:val="D5A5B839"/>
    <w:rsid w:val="D6FF7434"/>
    <w:rsid w:val="D9F7931A"/>
    <w:rsid w:val="DADF698D"/>
    <w:rsid w:val="DB471E64"/>
    <w:rsid w:val="DBB8A4C8"/>
    <w:rsid w:val="DCDC906C"/>
    <w:rsid w:val="DEBEF003"/>
    <w:rsid w:val="DEEF6E09"/>
    <w:rsid w:val="DF7F1D29"/>
    <w:rsid w:val="DFFC34ED"/>
    <w:rsid w:val="DFFFDD0C"/>
    <w:rsid w:val="E4EF6ABE"/>
    <w:rsid w:val="E59DD581"/>
    <w:rsid w:val="E63FBD7E"/>
    <w:rsid w:val="E6FB018C"/>
    <w:rsid w:val="E7E8C880"/>
    <w:rsid w:val="E81EEC72"/>
    <w:rsid w:val="E99DADB9"/>
    <w:rsid w:val="E9EBA689"/>
    <w:rsid w:val="EAF3224D"/>
    <w:rsid w:val="EAFBE304"/>
    <w:rsid w:val="ECB89F7E"/>
    <w:rsid w:val="EDC74D61"/>
    <w:rsid w:val="EDF51688"/>
    <w:rsid w:val="EE1D79D7"/>
    <w:rsid w:val="EF771887"/>
    <w:rsid w:val="EF7F6827"/>
    <w:rsid w:val="EF7FEA3C"/>
    <w:rsid w:val="EF9AAE2C"/>
    <w:rsid w:val="EFBF833F"/>
    <w:rsid w:val="EFD98C84"/>
    <w:rsid w:val="EFEAF0F4"/>
    <w:rsid w:val="EFFEEA64"/>
    <w:rsid w:val="F6FF9ABF"/>
    <w:rsid w:val="F73BD412"/>
    <w:rsid w:val="F75F4CB9"/>
    <w:rsid w:val="F7FD3963"/>
    <w:rsid w:val="F9FD4F67"/>
    <w:rsid w:val="FA7F5DD1"/>
    <w:rsid w:val="FAA170B5"/>
    <w:rsid w:val="FABF7F49"/>
    <w:rsid w:val="FAFC7380"/>
    <w:rsid w:val="FAFEE92F"/>
    <w:rsid w:val="FB7D3B75"/>
    <w:rsid w:val="FBB72AF8"/>
    <w:rsid w:val="FC5BBEE1"/>
    <w:rsid w:val="FCF6B7CB"/>
    <w:rsid w:val="FCFB8595"/>
    <w:rsid w:val="FD87F8C5"/>
    <w:rsid w:val="FDEB3C48"/>
    <w:rsid w:val="FE7BA841"/>
    <w:rsid w:val="FF2E4914"/>
    <w:rsid w:val="FF5F1996"/>
    <w:rsid w:val="FF7EFF19"/>
    <w:rsid w:val="FF988B1E"/>
    <w:rsid w:val="FFD53686"/>
    <w:rsid w:val="FFF7D733"/>
    <w:rsid w:val="FFFB6092"/>
    <w:rsid w:val="FFFC3B50"/>
    <w:rsid w:val="FFFD010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5">
    <w:name w:val="heading 2"/>
    <w:basedOn w:val="1"/>
    <w:next w:val="1"/>
    <w:unhideWhenUsed/>
    <w:qFormat/>
    <w:uiPriority w:val="0"/>
    <w:pPr>
      <w:keepNext/>
      <w:keepLines/>
      <w:spacing w:before="260" w:after="260" w:line="415" w:lineRule="auto"/>
      <w:jc w:val="center"/>
      <w:outlineLvl w:val="1"/>
    </w:pPr>
    <w:rPr>
      <w:rFonts w:ascii="Cambria" w:hAnsi="Cambria"/>
      <w:b/>
      <w:sz w:val="24"/>
      <w:szCs w:val="32"/>
    </w:rPr>
  </w:style>
  <w:style w:type="paragraph" w:styleId="2">
    <w:name w:val="heading 4"/>
    <w:basedOn w:val="1"/>
    <w:next w:val="3"/>
    <w:unhideWhenUsed/>
    <w:qFormat/>
    <w:uiPriority w:val="0"/>
    <w:pPr>
      <w:spacing w:beforeAutospacing="1" w:afterAutospacing="1"/>
      <w:jc w:val="left"/>
      <w:outlineLvl w:val="3"/>
    </w:pPr>
    <w:rPr>
      <w:rFonts w:ascii="??" w:hAnsi="??"/>
      <w:b/>
      <w:kern w:val="0"/>
      <w:sz w:val="24"/>
    </w:rPr>
  </w:style>
  <w:style w:type="character" w:default="1" w:styleId="14">
    <w:name w:val="Default Paragraph Font"/>
    <w:semiHidden/>
    <w:qFormat/>
    <w:uiPriority w:val="0"/>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styleId="3">
    <w:name w:val="Normal Indent"/>
    <w:basedOn w:val="1"/>
    <w:unhideWhenUsed/>
    <w:qFormat/>
    <w:uiPriority w:val="99"/>
    <w:pPr>
      <w:ind w:firstLine="420" w:firstLineChars="200"/>
    </w:pPr>
    <w:rPr>
      <w:szCs w:val="24"/>
    </w:rPr>
  </w:style>
  <w:style w:type="paragraph" w:styleId="6">
    <w:name w:val="Body Text"/>
    <w:basedOn w:val="1"/>
    <w:next w:val="1"/>
    <w:uiPriority w:val="0"/>
    <w:pPr>
      <w:spacing w:after="120"/>
    </w:pPr>
  </w:style>
  <w:style w:type="paragraph" w:styleId="7">
    <w:name w:val="toc 3"/>
    <w:basedOn w:val="1"/>
    <w:next w:val="1"/>
    <w:qFormat/>
    <w:uiPriority w:val="0"/>
    <w:pPr>
      <w:ind w:left="840" w:leftChars="400"/>
    </w:pPr>
  </w:style>
  <w:style w:type="paragraph" w:styleId="8">
    <w:name w:val="footer"/>
    <w:basedOn w:val="1"/>
    <w:next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qFormat/>
    <w:uiPriority w:val="0"/>
  </w:style>
  <w:style w:type="paragraph" w:styleId="11">
    <w:name w:val="Subtitle"/>
    <w:basedOn w:val="1"/>
    <w:next w:val="1"/>
    <w:qFormat/>
    <w:uiPriority w:val="0"/>
    <w:pPr>
      <w:wordWrap w:val="0"/>
      <w:spacing w:after="60"/>
      <w:jc w:val="center"/>
    </w:pPr>
    <w:rPr>
      <w:rFonts w:ascii="Times New Roman" w:hAnsi="Times New Roman"/>
      <w:sz w:val="24"/>
    </w:rPr>
  </w:style>
  <w:style w:type="paragraph" w:styleId="12">
    <w:name w:val="toc 2"/>
    <w:basedOn w:val="1"/>
    <w:next w:val="1"/>
    <w:qFormat/>
    <w:uiPriority w:val="0"/>
    <w:pPr>
      <w:ind w:left="420" w:leftChars="200"/>
    </w:pPr>
  </w:style>
  <w:style w:type="paragraph" w:styleId="1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5">
    <w:name w:val="Strong"/>
    <w:basedOn w:val="14"/>
    <w:qFormat/>
    <w:uiPriority w:val="0"/>
    <w:rPr>
      <w:b/>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8">
    <w:name w:val="Default"/>
    <w:next w:val="11"/>
    <w:qFormat/>
    <w:uiPriority w:val="0"/>
    <w:pPr>
      <w:widowControl w:val="0"/>
      <w:autoSpaceDE w:val="0"/>
      <w:autoSpaceDN w:val="0"/>
      <w:adjustRightInd w:val="0"/>
    </w:pPr>
    <w:rPr>
      <w:rFonts w:ascii="仿宋" w:hAnsi="仿宋" w:eastAsia="等线" w:cs="仿宋"/>
      <w:color w:val="000000"/>
      <w:sz w:val="24"/>
      <w:szCs w:val="24"/>
      <w:lang w:val="en-US" w:eastAsia="zh-CN" w:bidi="ar-SA"/>
    </w:rPr>
  </w:style>
  <w:style w:type="paragraph" w:customStyle="1" w:styleId="19">
    <w:name w:val="列出段落1"/>
    <w:basedOn w:val="1"/>
    <w:qFormat/>
    <w:uiPriority w:val="34"/>
    <w:pPr>
      <w:widowControl w:val="0"/>
      <w:ind w:firstLine="420" w:firstLineChars="200"/>
      <w:jc w:val="both"/>
    </w:pPr>
    <w:rPr>
      <w:rFonts w:ascii="Calibri" w:hAnsi="Calibri" w:cs="黑体"/>
      <w:kern w:val="2"/>
      <w:sz w:val="21"/>
      <w:szCs w:val="22"/>
    </w:rPr>
  </w:style>
  <w:style w:type="paragraph" w:customStyle="1" w:styleId="20">
    <w:name w:val="Table Paragraph"/>
    <w:basedOn w:val="1"/>
    <w:qFormat/>
    <w:uiPriority w:val="1"/>
    <w:pPr>
      <w:jc w:val="left"/>
    </w:pPr>
    <w:rPr>
      <w:rFonts w:cs="黑体"/>
      <w:kern w:val="0"/>
      <w:sz w:val="22"/>
      <w:lang w:eastAsia="en-US"/>
    </w:rPr>
  </w:style>
  <w:style w:type="paragraph" w:customStyle="1" w:styleId="21">
    <w:name w:val="BodyText"/>
    <w:basedOn w:val="1"/>
    <w:next w:val="1"/>
    <w:qFormat/>
    <w:uiPriority w:val="0"/>
    <w:pPr>
      <w:spacing w:after="120"/>
      <w:jc w:val="both"/>
      <w:textAlignment w:val="baseline"/>
    </w:pPr>
  </w:style>
  <w:style w:type="paragraph" w:customStyle="1" w:styleId="22">
    <w:name w:val="List Paragraph"/>
    <w:basedOn w:val="1"/>
    <w:qFormat/>
    <w:uiPriority w:val="34"/>
    <w:pPr>
      <w:ind w:firstLine="420" w:firstLineChars="200"/>
    </w:pPr>
  </w:style>
  <w:style w:type="paragraph" w:customStyle="1" w:styleId="23">
    <w:name w:val="WPSOffice手动目录 1"/>
    <w:qFormat/>
    <w:uiPriority w:val="0"/>
    <w:pPr>
      <w:ind w:leftChars="0"/>
    </w:pPr>
    <w:rPr>
      <w:rFonts w:ascii="Times New Roman" w:hAnsi="Times New Roman" w:eastAsia="宋体" w:cs="Times New Roman"/>
      <w:sz w:val="20"/>
      <w:szCs w:val="20"/>
    </w:rPr>
  </w:style>
  <w:style w:type="paragraph" w:customStyle="1" w:styleId="24">
    <w:name w:val="WPSOffice手动目录 2"/>
    <w:qFormat/>
    <w:uiPriority w:val="0"/>
    <w:pPr>
      <w:ind w:leftChars="200"/>
    </w:pPr>
    <w:rPr>
      <w:rFonts w:ascii="Times New Roman" w:hAnsi="Times New Roman" w:eastAsia="宋体" w:cs="Times New Roman"/>
      <w:sz w:val="20"/>
      <w:szCs w:val="20"/>
    </w:rPr>
  </w:style>
  <w:style w:type="paragraph" w:customStyle="1" w:styleId="25">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2014-11-01T04:08:00Z</dcterms:created>
  <dc:creator>Administrator</dc:creator>
  <cp:lastModifiedBy>Lenovo</cp:lastModifiedBy>
  <cp:lastPrinted>2022-05-20T09:24:00Z</cp:lastPrinted>
  <dcterms:modified xsi:type="dcterms:W3CDTF">2022-05-20T01:44:12Z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y fmtid="{D5CDD505-2E9C-101B-9397-08002B2CF9AE}" pid="3" name="ICV">
    <vt:lpwstr>91FFD5B9DD3B47F0B733D25A00B320C3</vt:lpwstr>
  </property>
</Properties>
</file>