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default" w:ascii="黑体" w:hAnsi="黑体" w:eastAsia="黑体"/>
          <w:sz w:val="52"/>
          <w:szCs w:val="24"/>
        </w:rPr>
      </w:pPr>
      <w:r>
        <w:rPr>
          <w:rFonts w:hint="eastAsia" w:ascii="黑体" w:hAnsi="黑体" w:eastAsia="黑体"/>
          <w:sz w:val="52"/>
          <w:szCs w:val="24"/>
        </w:rPr>
        <w:t>河南省新乡延津县安全生产监督管理局</w:t>
      </w:r>
    </w:p>
    <w:p>
      <w:pPr>
        <w:spacing w:beforeLines="0" w:afterLines="0"/>
        <w:jc w:val="center"/>
        <w:rPr>
          <w:rFonts w:hint="default" w:ascii="黑体" w:hAnsi="黑体" w:eastAsia="黑体"/>
          <w:sz w:val="52"/>
          <w:szCs w:val="24"/>
        </w:rPr>
      </w:pPr>
    </w:p>
    <w:p>
      <w:pPr>
        <w:spacing w:beforeLines="0" w:afterLines="0"/>
        <w:jc w:val="center"/>
        <w:rPr>
          <w:rFonts w:hint="default" w:ascii="黑体" w:hAnsi="黑体" w:eastAsia="黑体"/>
          <w:sz w:val="52"/>
          <w:szCs w:val="24"/>
        </w:rPr>
      </w:pPr>
      <w:r>
        <w:rPr>
          <w:rFonts w:hint="eastAsia" w:ascii="黑体" w:hAnsi="黑体" w:eastAsia="黑体"/>
          <w:sz w:val="52"/>
          <w:szCs w:val="24"/>
        </w:rPr>
        <w:t>2018年度部门决算</w:t>
      </w:r>
    </w:p>
    <w:p>
      <w:pPr>
        <w:spacing w:beforeLines="0" w:afterLines="0"/>
        <w:jc w:val="center"/>
        <w:rPr>
          <w:rFonts w:hint="default" w:ascii="黑体" w:hAnsi="黑体" w:eastAsia="黑体"/>
          <w:sz w:val="52"/>
          <w:szCs w:val="24"/>
        </w:rPr>
      </w:pPr>
    </w:p>
    <w:p>
      <w:pPr>
        <w:spacing w:beforeLines="0" w:afterLines="0"/>
        <w:jc w:val="center"/>
        <w:rPr>
          <w:rFonts w:hint="default" w:ascii="黑体" w:hAnsi="黑体" w:eastAsia="黑体"/>
          <w:sz w:val="52"/>
          <w:szCs w:val="24"/>
        </w:rPr>
      </w:pPr>
    </w:p>
    <w:p>
      <w:pPr>
        <w:spacing w:beforeLines="0" w:afterLines="0"/>
        <w:jc w:val="center"/>
        <w:rPr>
          <w:rFonts w:hint="default" w:ascii="黑体" w:hAnsi="黑体" w:eastAsia="黑体"/>
          <w:sz w:val="52"/>
          <w:szCs w:val="24"/>
        </w:rPr>
      </w:pPr>
    </w:p>
    <w:p>
      <w:pPr>
        <w:spacing w:beforeLines="0" w:afterLines="0"/>
        <w:jc w:val="center"/>
        <w:rPr>
          <w:rFonts w:hint="default" w:ascii="黑体" w:hAnsi="黑体" w:eastAsia="黑体"/>
          <w:sz w:val="52"/>
          <w:szCs w:val="24"/>
        </w:rPr>
      </w:pPr>
    </w:p>
    <w:p>
      <w:pPr>
        <w:spacing w:beforeLines="0" w:afterLines="0"/>
        <w:jc w:val="center"/>
        <w:rPr>
          <w:rFonts w:hint="default" w:ascii="黑体" w:hAnsi="黑体" w:eastAsia="黑体"/>
          <w:sz w:val="52"/>
          <w:szCs w:val="24"/>
        </w:rPr>
      </w:pPr>
    </w:p>
    <w:p>
      <w:pPr>
        <w:spacing w:beforeLines="0" w:afterLines="0"/>
        <w:ind w:firstLine="3200" w:firstLineChars="1000"/>
        <w:rPr>
          <w:rFonts w:hint="default" w:ascii="黑体" w:hAnsi="黑体" w:eastAsia="黑体"/>
          <w:sz w:val="32"/>
          <w:szCs w:val="24"/>
        </w:rPr>
        <w:sectPr>
          <w:pgSz w:w="11906" w:h="16838"/>
          <w:pgMar w:top="1440" w:right="1134" w:bottom="1440" w:left="1134" w:header="851" w:footer="992" w:gutter="0"/>
          <w:pgNumType w:fmt="numberInDash"/>
          <w:cols w:space="720" w:num="1"/>
          <w:docGrid w:type="lines" w:linePitch="317" w:charSpace="0"/>
        </w:sectPr>
      </w:pPr>
      <w:r>
        <w:rPr>
          <w:rFonts w:hint="eastAsia" w:ascii="黑体" w:hAnsi="黑体" w:eastAsia="黑体"/>
          <w:sz w:val="32"/>
          <w:szCs w:val="24"/>
        </w:rPr>
        <w:t>二〇一九年九月</w:t>
      </w:r>
    </w:p>
    <w:p>
      <w:pPr>
        <w:spacing w:beforeLines="0" w:afterLines="0"/>
        <w:jc w:val="center"/>
        <w:rPr>
          <w:rFonts w:hint="default" w:ascii="黑体" w:hAnsi="黑体" w:eastAsia="黑体"/>
          <w:sz w:val="36"/>
          <w:szCs w:val="24"/>
        </w:rPr>
      </w:pPr>
      <w:r>
        <w:rPr>
          <w:rFonts w:hint="eastAsia" w:ascii="黑体" w:hAnsi="黑体" w:eastAsia="黑体"/>
          <w:sz w:val="36"/>
          <w:szCs w:val="24"/>
        </w:rPr>
        <w:t>目　　录</w:t>
      </w:r>
    </w:p>
    <w:p>
      <w:pPr>
        <w:spacing w:beforeLines="0" w:afterLines="0"/>
        <w:jc w:val="left"/>
        <w:rPr>
          <w:rFonts w:hint="default" w:ascii="黑体" w:hAnsi="黑体" w:eastAsia="黑体"/>
          <w:sz w:val="32"/>
          <w:szCs w:val="24"/>
        </w:rPr>
      </w:pPr>
      <w:r>
        <w:rPr>
          <w:rFonts w:hint="eastAsia" w:ascii="黑体" w:hAnsi="黑体" w:eastAsia="黑体"/>
          <w:sz w:val="32"/>
          <w:szCs w:val="24"/>
        </w:rPr>
        <w:t>第一部分　延津县安全生产监督管理局概况</w:t>
      </w:r>
    </w:p>
    <w:p>
      <w:pPr>
        <w:numPr>
          <w:ilvl w:val="0"/>
          <w:numId w:val="1"/>
        </w:numPr>
        <w:spacing w:beforeLines="0" w:afterLines="0"/>
        <w:ind w:firstLine="640" w:firstLineChars="200"/>
        <w:jc w:val="left"/>
        <w:rPr>
          <w:rFonts w:hint="default" w:ascii="宋体"/>
          <w:sz w:val="32"/>
          <w:szCs w:val="24"/>
        </w:rPr>
      </w:pPr>
      <w:r>
        <w:rPr>
          <w:rFonts w:hint="eastAsia" w:ascii="宋体" w:hAnsi="宋体" w:cs="宋体"/>
          <w:sz w:val="32"/>
          <w:szCs w:val="24"/>
        </w:rPr>
        <w:t>部门职责</w:t>
      </w:r>
    </w:p>
    <w:p>
      <w:pPr>
        <w:numPr>
          <w:ilvl w:val="0"/>
          <w:numId w:val="1"/>
        </w:numPr>
        <w:spacing w:beforeLines="0" w:afterLines="0"/>
        <w:ind w:firstLine="640" w:firstLineChars="200"/>
        <w:jc w:val="left"/>
        <w:rPr>
          <w:rFonts w:hint="default" w:ascii="宋体"/>
          <w:sz w:val="32"/>
          <w:szCs w:val="24"/>
        </w:rPr>
      </w:pPr>
      <w:r>
        <w:rPr>
          <w:rFonts w:hint="eastAsia" w:ascii="宋体" w:hAnsi="宋体" w:cs="宋体"/>
          <w:sz w:val="32"/>
          <w:szCs w:val="24"/>
        </w:rPr>
        <w:t>机构设置</w:t>
      </w:r>
    </w:p>
    <w:p>
      <w:pPr>
        <w:spacing w:beforeLines="0" w:afterLines="0"/>
        <w:jc w:val="left"/>
        <w:rPr>
          <w:rFonts w:hint="default" w:ascii="黑体" w:hAnsi="黑体" w:eastAsia="黑体"/>
          <w:sz w:val="32"/>
          <w:szCs w:val="24"/>
        </w:rPr>
      </w:pPr>
      <w:r>
        <w:rPr>
          <w:rFonts w:hint="eastAsia" w:ascii="黑体" w:hAnsi="黑体" w:eastAsia="黑体"/>
          <w:sz w:val="32"/>
          <w:szCs w:val="24"/>
        </w:rPr>
        <w:t>第二部分　延津县安全生产监督管理局2018年度部门决算表</w:t>
      </w:r>
    </w:p>
    <w:p>
      <w:pPr>
        <w:spacing w:beforeLines="0" w:afterLines="0"/>
        <w:ind w:firstLine="640" w:firstLineChars="200"/>
        <w:jc w:val="left"/>
        <w:rPr>
          <w:rFonts w:hint="default" w:ascii="宋体"/>
          <w:sz w:val="32"/>
          <w:szCs w:val="24"/>
        </w:rPr>
      </w:pPr>
      <w:r>
        <w:rPr>
          <w:rFonts w:hint="eastAsia" w:ascii="宋体" w:hAnsi="宋体" w:cs="宋体"/>
          <w:sz w:val="32"/>
          <w:szCs w:val="24"/>
        </w:rPr>
        <w:t>一、收入支出决算总表</w:t>
      </w:r>
    </w:p>
    <w:p>
      <w:pPr>
        <w:spacing w:beforeLines="0" w:afterLines="0"/>
        <w:ind w:firstLine="640" w:firstLineChars="200"/>
        <w:jc w:val="left"/>
        <w:rPr>
          <w:rFonts w:hint="default" w:ascii="宋体"/>
          <w:sz w:val="32"/>
          <w:szCs w:val="24"/>
        </w:rPr>
      </w:pPr>
      <w:r>
        <w:rPr>
          <w:rFonts w:hint="eastAsia" w:ascii="宋体" w:hAnsi="宋体" w:cs="宋体"/>
          <w:sz w:val="32"/>
          <w:szCs w:val="24"/>
        </w:rPr>
        <w:t>二、收入决算表</w:t>
      </w:r>
    </w:p>
    <w:p>
      <w:pPr>
        <w:spacing w:beforeLines="0" w:afterLines="0"/>
        <w:ind w:firstLine="640" w:firstLineChars="200"/>
        <w:jc w:val="left"/>
        <w:rPr>
          <w:rFonts w:hint="default" w:ascii="宋体"/>
          <w:sz w:val="32"/>
          <w:szCs w:val="24"/>
        </w:rPr>
      </w:pPr>
      <w:r>
        <w:rPr>
          <w:rFonts w:hint="eastAsia" w:ascii="宋体" w:hAnsi="宋体" w:cs="宋体"/>
          <w:sz w:val="32"/>
          <w:szCs w:val="24"/>
        </w:rPr>
        <w:t>三、支出决算表</w:t>
      </w:r>
    </w:p>
    <w:p>
      <w:pPr>
        <w:spacing w:beforeLines="0" w:afterLines="0"/>
        <w:ind w:firstLine="640" w:firstLineChars="200"/>
        <w:jc w:val="left"/>
        <w:rPr>
          <w:rFonts w:hint="default" w:ascii="宋体"/>
          <w:sz w:val="32"/>
          <w:szCs w:val="24"/>
        </w:rPr>
      </w:pPr>
      <w:r>
        <w:rPr>
          <w:rFonts w:hint="eastAsia" w:ascii="宋体" w:hAnsi="宋体" w:cs="宋体"/>
          <w:sz w:val="32"/>
          <w:szCs w:val="24"/>
        </w:rPr>
        <w:t>四、财政拨款收入支出决算总表</w:t>
      </w:r>
    </w:p>
    <w:p>
      <w:pPr>
        <w:spacing w:beforeLines="0" w:afterLines="0"/>
        <w:ind w:firstLine="640" w:firstLineChars="200"/>
        <w:jc w:val="left"/>
        <w:rPr>
          <w:rFonts w:hint="default" w:ascii="宋体"/>
          <w:sz w:val="32"/>
          <w:szCs w:val="24"/>
        </w:rPr>
      </w:pPr>
      <w:r>
        <w:rPr>
          <w:rFonts w:hint="eastAsia" w:ascii="宋体" w:hAnsi="宋体" w:cs="宋体"/>
          <w:sz w:val="32"/>
          <w:szCs w:val="24"/>
        </w:rPr>
        <w:t>五、一般公共预算财政拨款支出决算表</w:t>
      </w:r>
    </w:p>
    <w:p>
      <w:pPr>
        <w:spacing w:beforeLines="0" w:afterLines="0"/>
        <w:ind w:firstLine="640" w:firstLineChars="200"/>
        <w:jc w:val="left"/>
        <w:rPr>
          <w:rFonts w:hint="default" w:ascii="宋体"/>
          <w:sz w:val="32"/>
          <w:szCs w:val="24"/>
        </w:rPr>
      </w:pPr>
      <w:r>
        <w:rPr>
          <w:rFonts w:hint="eastAsia" w:ascii="宋体" w:hAnsi="宋体" w:cs="宋体"/>
          <w:sz w:val="32"/>
          <w:szCs w:val="24"/>
        </w:rPr>
        <w:t>六、一般公共预算财政拨款基本支出决算表</w:t>
      </w:r>
    </w:p>
    <w:p>
      <w:pPr>
        <w:spacing w:beforeLines="0" w:afterLines="0"/>
        <w:ind w:firstLine="640" w:firstLineChars="200"/>
        <w:jc w:val="left"/>
        <w:rPr>
          <w:rFonts w:hint="default" w:ascii="宋体"/>
          <w:sz w:val="32"/>
          <w:szCs w:val="24"/>
        </w:rPr>
      </w:pPr>
      <w:r>
        <w:rPr>
          <w:rFonts w:hint="eastAsia" w:ascii="宋体" w:hAnsi="宋体" w:cs="宋体"/>
          <w:sz w:val="32"/>
          <w:szCs w:val="24"/>
        </w:rPr>
        <w:t>七、一般公共预算财政拨款“三公”经费支出决算表</w:t>
      </w:r>
    </w:p>
    <w:p>
      <w:pPr>
        <w:spacing w:beforeLines="0" w:afterLines="0"/>
        <w:ind w:firstLine="640" w:firstLineChars="200"/>
        <w:jc w:val="left"/>
        <w:rPr>
          <w:rFonts w:hint="default" w:ascii="宋体"/>
          <w:sz w:val="32"/>
          <w:szCs w:val="24"/>
        </w:rPr>
      </w:pPr>
      <w:r>
        <w:rPr>
          <w:rFonts w:hint="eastAsia" w:ascii="宋体" w:hAnsi="宋体" w:cs="宋体"/>
          <w:sz w:val="32"/>
          <w:szCs w:val="24"/>
        </w:rPr>
        <w:t>八、政府性基金预算财政拨款收入支出决算表</w:t>
      </w:r>
    </w:p>
    <w:p>
      <w:pPr>
        <w:spacing w:beforeLines="0" w:afterLines="0"/>
        <w:jc w:val="left"/>
        <w:rPr>
          <w:rFonts w:hint="default" w:ascii="黑体" w:hAnsi="黑体" w:eastAsia="黑体"/>
          <w:sz w:val="32"/>
          <w:szCs w:val="24"/>
        </w:rPr>
      </w:pPr>
      <w:r>
        <w:rPr>
          <w:rFonts w:hint="eastAsia" w:ascii="黑体" w:hAnsi="黑体" w:eastAsia="黑体"/>
          <w:sz w:val="32"/>
          <w:szCs w:val="24"/>
        </w:rPr>
        <w:t>第三部分　延津县安全生产监督管理局2018年度部门决算情况说明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一、收入支出决算总体情况说明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二、收入决算情况说明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三、支出决算情况说明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四、财政拨款收入支出决算总体情况说明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五、一般公共预算财政拨款支出决算情况说明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六、一般公共预算财政拨款基本支出决算情况说明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七、一般公共预算财政拨款“三公”经费支出决算情况说明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八、预算绩效情况说明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九、政府性基金预算财政拨款支出决算情况说明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十、机关运行经费支出情况说明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十一、政府采购支出情况说明</w:t>
      </w:r>
    </w:p>
    <w:p>
      <w:pPr>
        <w:spacing w:beforeLines="0" w:afterLines="0"/>
        <w:ind w:firstLine="640" w:firstLineChars="200"/>
        <w:jc w:val="left"/>
        <w:rPr>
          <w:rFonts w:hint="default" w:ascii="宋体"/>
          <w:sz w:val="32"/>
          <w:szCs w:val="24"/>
        </w:rPr>
      </w:pPr>
      <w:r>
        <w:rPr>
          <w:rFonts w:hint="eastAsia" w:ascii="宋体" w:hAnsi="宋体" w:cs="宋体"/>
          <w:sz w:val="32"/>
          <w:szCs w:val="24"/>
        </w:rPr>
        <w:t>十二、国有资产占用情况说明</w:t>
      </w:r>
    </w:p>
    <w:p>
      <w:pPr>
        <w:spacing w:beforeLines="0" w:afterLines="0"/>
        <w:jc w:val="left"/>
        <w:rPr>
          <w:rFonts w:hint="default" w:ascii="黑体" w:hAnsi="黑体" w:eastAsia="黑体"/>
          <w:sz w:val="32"/>
          <w:szCs w:val="24"/>
        </w:rPr>
        <w:sectPr>
          <w:footerReference r:id="rId4"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sz w:val="32"/>
          <w:szCs w:val="24"/>
        </w:rPr>
        <w:t>第四部分　　名词解释</w:t>
      </w: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rPr>
          <w:rFonts w:hint="default" w:ascii="黑体" w:hAnsi="宋体" w:eastAsia="黑体"/>
          <w:kern w:val="0"/>
          <w:sz w:val="44"/>
          <w:szCs w:val="24"/>
        </w:rPr>
      </w:pPr>
    </w:p>
    <w:p>
      <w:pPr>
        <w:widowControl/>
        <w:spacing w:beforeLines="0" w:afterLines="0"/>
        <w:ind w:left="3200" w:hanging="3200" w:hangingChars="800"/>
        <w:rPr>
          <w:rFonts w:hint="default" w:ascii="黑体" w:hAnsi="宋体" w:eastAsia="黑体"/>
          <w:kern w:val="0"/>
          <w:sz w:val="40"/>
          <w:szCs w:val="24"/>
        </w:rPr>
      </w:pPr>
      <w:r>
        <w:rPr>
          <w:rFonts w:hint="eastAsia" w:ascii="黑体" w:hAnsi="黑体" w:eastAsia="黑体"/>
          <w:sz w:val="40"/>
          <w:szCs w:val="24"/>
        </w:rPr>
        <w:t>第一部分   延津县安全生产监督管理局概况</w:t>
      </w:r>
    </w:p>
    <w:p>
      <w:pPr>
        <w:widowControl/>
        <w:spacing w:beforeLines="0" w:afterLines="0"/>
        <w:jc w:val="left"/>
        <w:rPr>
          <w:rFonts w:hint="default" w:ascii="黑体" w:hAnsi="宋体" w:eastAsia="黑体"/>
          <w:kern w:val="0"/>
          <w:sz w:val="44"/>
          <w:szCs w:val="24"/>
        </w:rPr>
      </w:pPr>
    </w:p>
    <w:p>
      <w:pPr>
        <w:widowControl/>
        <w:spacing w:beforeLines="0" w:afterLines="0"/>
        <w:jc w:val="left"/>
        <w:rPr>
          <w:rFonts w:hint="default" w:ascii="黑体" w:hAnsi="宋体" w:eastAsia="黑体"/>
          <w:kern w:val="0"/>
          <w:sz w:val="40"/>
          <w:szCs w:val="24"/>
        </w:rPr>
        <w:sectPr>
          <w:pgSz w:w="11906" w:h="16838"/>
          <w:pgMar w:top="1440" w:right="1800" w:bottom="1440" w:left="1800" w:header="720" w:footer="720" w:gutter="0"/>
          <w:pgNumType w:fmt="numberInDash"/>
          <w:cols w:space="720" w:num="1"/>
          <w:docGrid w:type="lines" w:linePitch="312" w:charSpace="0"/>
        </w:sectPr>
      </w:pPr>
    </w:p>
    <w:p>
      <w:pPr>
        <w:widowControl/>
        <w:spacing w:beforeLines="0" w:afterLines="0"/>
        <w:ind w:firstLine="640" w:firstLineChars="200"/>
        <w:jc w:val="left"/>
        <w:rPr>
          <w:rFonts w:hint="default" w:ascii="黑体" w:hAnsi="黑体" w:eastAsia="黑体"/>
          <w:kern w:val="0"/>
          <w:sz w:val="32"/>
          <w:szCs w:val="24"/>
        </w:rPr>
      </w:pPr>
      <w:r>
        <w:rPr>
          <w:rFonts w:hint="eastAsia" w:ascii="黑体" w:hAnsi="黑体" w:eastAsia="黑体"/>
          <w:kern w:val="0"/>
          <w:sz w:val="32"/>
          <w:szCs w:val="24"/>
        </w:rPr>
        <w:t>一、部门职责</w:t>
      </w:r>
    </w:p>
    <w:p>
      <w:pPr>
        <w:pStyle w:val="3"/>
        <w:spacing w:before="0" w:beforeLines="0" w:after="0" w:afterLines="0" w:line="600" w:lineRule="exact"/>
        <w:ind w:right="75" w:firstLine="480" w:firstLineChars="150"/>
        <w:rPr>
          <w:rFonts w:hint="default"/>
          <w:color w:val="333333"/>
          <w:sz w:val="32"/>
          <w:szCs w:val="24"/>
        </w:rPr>
      </w:pPr>
      <w:r>
        <w:rPr>
          <w:rFonts w:hint="eastAsia"/>
          <w:color w:val="333333"/>
          <w:sz w:val="32"/>
          <w:szCs w:val="24"/>
        </w:rPr>
        <w:t>（一）主要职能</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1、贯彻执行国家安全生产法律、法规，组织起草全县综合性安全生产规划、标准，拟订全县安全生产工作政策及工矿商贸行业安全生产规章草案和规程并组织实施。</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2、承担全县安全生产综合监督管理责任，依法行使综合监督管理职权，指导协调和监督检查有关部门和乡（镇）)政府的安全生产工作，定期分析和预测全县安全生产形势，研究、协调和解决安全生产中的重大问题，督促、指导落实安全生产责任制和安全生产责任追究制。</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3、承担工矿商贸行业安全生产监督管理责任，按照分级、属地原则，依法监督检查工矿商贸生产经营单位贯彻执行安全生产法律法规情况、安全生产条件和有关设备(特种设备除外)、材料、劳动防护用品的安全管理工作、重大危险源监控及重大事故隐患的整改工作；依法查处不具备安全生产条件的工矿商贸生产经营单位。负责监督管理工矿商贸生产经营单位安全生产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4、承担非煤矿山和危险化学品、烟花爆竹生产经营单位安全生产准入管理责任；依法组织实施安全生产准入制度并负责监督管理工作。负责危险化学品安全监督管理综合工作。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5、承担生产经营单位作业场所职业健康监督管理责任，负责职业卫生安全许可证的颁发管理工作；组织查处职业危害事故和违法违规行为。</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6、负责组织指挥和协调安全生产应急救援工作；综合管理全县生产安全伤亡事故、安全生产和职业危害信息统计分析工作；依法组织、协调生产安全事故的调查处理工作并监督事故查处的落实情况，协助</w:t>
      </w:r>
      <w:r>
        <w:rPr>
          <w:rFonts w:hint="eastAsia" w:ascii="宋体" w:hAnsi="宋体" w:cs="宋体"/>
          <w:kern w:val="0"/>
          <w:sz w:val="32"/>
          <w:szCs w:val="24"/>
        </w:rPr>
        <w:t>一、部门职责</w:t>
      </w:r>
      <w:r>
        <w:rPr>
          <w:rFonts w:hint="eastAsia" w:ascii="宋体" w:hAnsi="宋体" w:cs="宋体"/>
          <w:sz w:val="32"/>
          <w:szCs w:val="24"/>
        </w:rPr>
        <w:t>国家、省、市调查生产安全事故。</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7、负责监督检查职责范围内新建、改建、扩建工程项目的安全设施与主体工程同时设计、同时施工、同时投产使用情况。</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8、指导协调全县安全生产检测检验工作，监督管理安全生产社会中介机构和安全评价工作。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9、组织、指导全县安全生产宣传教育和安全文化建设工作；负责安全生产监督管理人员安全培训、考核工作，依法组织、指导并监督特种作业人员(特种设备作业人员除外)的考核工作和工矿商贸生产经营单位主要负责人、安全生产管理人员的安全资格考核工作；监督检查工矿商贸生产经营单位安全培训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10、组织拟订全县安全科技规划；指导协调安全生产重大科学技术研究、科研成果申报、推广和技术示范工作。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11、指导协调和监督监察全县安全生产行政执法工作。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12、监督、指导注册安全工程师、注册助理安全工程师执业资格考试和注册管理工作。</w:t>
      </w:r>
    </w:p>
    <w:p>
      <w:pPr>
        <w:spacing w:beforeLines="0" w:afterLines="0" w:line="560" w:lineRule="exact"/>
        <w:ind w:firstLine="640" w:firstLineChars="200"/>
        <w:rPr>
          <w:rFonts w:hint="default" w:ascii="宋体" w:eastAsia="Times New Roman"/>
          <w:sz w:val="32"/>
          <w:szCs w:val="24"/>
        </w:rPr>
      </w:pPr>
      <w:r>
        <w:rPr>
          <w:rFonts w:hint="eastAsia" w:ascii="宋体" w:hAnsi="宋体" w:cs="宋体"/>
          <w:sz w:val="32"/>
          <w:szCs w:val="24"/>
        </w:rPr>
        <w:t>13、组织开展全县安全生产方面的对外交流与合作。</w:t>
      </w:r>
    </w:p>
    <w:p>
      <w:pPr>
        <w:pStyle w:val="3"/>
        <w:spacing w:before="0" w:beforeLines="0" w:after="0" w:afterLines="0" w:line="600" w:lineRule="exact"/>
        <w:ind w:left="74" w:right="74" w:firstLine="482"/>
        <w:rPr>
          <w:rFonts w:hint="default"/>
          <w:color w:val="333333"/>
          <w:sz w:val="32"/>
          <w:szCs w:val="24"/>
        </w:rPr>
      </w:pPr>
      <w:r>
        <w:rPr>
          <w:rFonts w:hint="eastAsia"/>
          <w:sz w:val="32"/>
          <w:szCs w:val="24"/>
        </w:rPr>
        <w:t xml:space="preserve"> 14、承办县政府交办的其他事项</w:t>
      </w:r>
    </w:p>
    <w:p>
      <w:pPr>
        <w:pStyle w:val="3"/>
        <w:spacing w:before="0" w:beforeLines="0" w:after="0" w:afterLines="0" w:line="600" w:lineRule="exact"/>
        <w:ind w:left="75" w:right="75" w:firstLine="480"/>
        <w:rPr>
          <w:rFonts w:hint="default" w:ascii="仿宋_GB2312" w:eastAsia="仿宋_GB2312"/>
          <w:b/>
          <w:color w:val="333333"/>
          <w:sz w:val="32"/>
          <w:szCs w:val="24"/>
        </w:rPr>
      </w:pPr>
    </w:p>
    <w:p>
      <w:pPr>
        <w:spacing w:beforeLines="0" w:afterLines="0" w:line="560" w:lineRule="exact"/>
        <w:ind w:firstLine="640" w:firstLineChars="200"/>
        <w:rPr>
          <w:rFonts w:hint="default" w:ascii="黑体" w:hAnsi="黑体" w:eastAsia="黑体"/>
          <w:kern w:val="0"/>
          <w:sz w:val="32"/>
          <w:szCs w:val="24"/>
        </w:rPr>
      </w:pPr>
      <w:r>
        <w:rPr>
          <w:rFonts w:hint="eastAsia" w:ascii="黑体" w:hAnsi="黑体" w:eastAsia="黑体"/>
          <w:kern w:val="0"/>
          <w:sz w:val="32"/>
          <w:szCs w:val="24"/>
        </w:rPr>
        <w:t>二、机构设置</w:t>
      </w:r>
    </w:p>
    <w:p>
      <w:pPr>
        <w:adjustRightInd w:val="0"/>
        <w:snapToGrid w:val="0"/>
        <w:spacing w:beforeLines="0" w:afterLines="0" w:line="360" w:lineRule="auto"/>
        <w:ind w:firstLine="640" w:firstLineChars="200"/>
        <w:rPr>
          <w:rFonts w:hint="eastAsia" w:cs="宋体"/>
          <w:color w:val="333333"/>
          <w:sz w:val="32"/>
          <w:szCs w:val="24"/>
        </w:rPr>
      </w:pPr>
      <w:r>
        <w:rPr>
          <w:rFonts w:hint="eastAsia" w:ascii="宋体" w:hAnsi="宋体" w:cs="宋体"/>
          <w:sz w:val="32"/>
          <w:szCs w:val="24"/>
        </w:rPr>
        <w:t>根据上述职责，县安全生产监督管理局设4个内设机构和</w:t>
      </w:r>
      <w:r>
        <w:rPr>
          <w:rFonts w:hint="eastAsia" w:ascii="宋体" w:hAnsi="宋体" w:cs="宋体"/>
          <w:color w:val="333333"/>
          <w:sz w:val="32"/>
          <w:szCs w:val="24"/>
        </w:rPr>
        <w:t>1个二级机构，包括：办公室、协调股、危化股、综合股及安全生产监察大队。</w:t>
      </w:r>
    </w:p>
    <w:p>
      <w:pPr>
        <w:adjustRightInd w:val="0"/>
        <w:snapToGrid w:val="0"/>
        <w:spacing w:beforeLines="0" w:afterLines="0" w:line="360" w:lineRule="auto"/>
        <w:ind w:firstLine="640" w:firstLineChars="200"/>
        <w:rPr>
          <w:rFonts w:hint="eastAsia" w:cs="宋体"/>
          <w:sz w:val="32"/>
          <w:szCs w:val="24"/>
        </w:rPr>
      </w:pPr>
      <w:r>
        <w:rPr>
          <w:rFonts w:hint="eastAsia" w:ascii="宋体" w:hAnsi="宋体" w:cs="宋体"/>
          <w:sz w:val="32"/>
          <w:szCs w:val="24"/>
        </w:rPr>
        <w:t>纳入本部门2018年度部门决算编制范围的为本级单位。</w:t>
      </w:r>
    </w:p>
    <w:p>
      <w:pPr>
        <w:spacing w:beforeLines="0" w:afterLines="0" w:line="560" w:lineRule="exact"/>
        <w:ind w:firstLine="640" w:firstLineChars="200"/>
        <w:rPr>
          <w:rFonts w:hint="eastAsia" w:cs="宋体"/>
          <w:sz w:val="32"/>
          <w:szCs w:val="24"/>
        </w:rPr>
      </w:pPr>
    </w:p>
    <w:p>
      <w:pPr>
        <w:widowControl/>
        <w:spacing w:beforeLines="0" w:afterLines="0"/>
        <w:jc w:val="left"/>
        <w:rPr>
          <w:rFonts w:hint="default" w:ascii="宋体"/>
          <w:kern w:val="0"/>
          <w:sz w:val="28"/>
          <w:szCs w:val="24"/>
        </w:rPr>
      </w:pPr>
    </w:p>
    <w:p>
      <w:pPr>
        <w:widowControl/>
        <w:spacing w:beforeLines="0" w:afterLines="0"/>
        <w:jc w:val="left"/>
        <w:rPr>
          <w:rFonts w:hint="default" w:ascii="宋体"/>
          <w:kern w:val="0"/>
          <w:sz w:val="28"/>
          <w:szCs w:val="24"/>
        </w:rPr>
        <w:sectPr>
          <w:pgSz w:w="11906" w:h="16838"/>
          <w:pgMar w:top="1440" w:right="1800" w:bottom="1440" w:left="1800" w:header="720" w:footer="720" w:gutter="0"/>
          <w:pgNumType w:fmt="numberInDash"/>
          <w:cols w:space="720" w:num="1"/>
          <w:docGrid w:type="lines" w:linePitch="312" w:charSpace="0"/>
        </w:sect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center"/>
        <w:rPr>
          <w:rFonts w:hint="default" w:ascii="黑体" w:hAnsi="黑体" w:eastAsia="黑体"/>
          <w:sz w:val="48"/>
          <w:szCs w:val="24"/>
        </w:rPr>
      </w:pPr>
      <w:r>
        <w:rPr>
          <w:rFonts w:hint="eastAsia" w:ascii="黑体" w:hAnsi="黑体" w:eastAsia="黑体"/>
          <w:sz w:val="48"/>
          <w:szCs w:val="24"/>
        </w:rPr>
        <w:t>第二部分</w:t>
      </w:r>
    </w:p>
    <w:p>
      <w:pPr>
        <w:spacing w:beforeLines="0" w:afterLines="0"/>
        <w:jc w:val="center"/>
        <w:rPr>
          <w:rFonts w:hint="default" w:ascii="黑体" w:hAnsi="黑体" w:eastAsia="黑体"/>
          <w:sz w:val="48"/>
          <w:szCs w:val="24"/>
        </w:rPr>
      </w:pPr>
      <w:r>
        <w:rPr>
          <w:rFonts w:hint="eastAsia" w:ascii="黑体" w:hAnsi="黑体" w:eastAsia="黑体"/>
          <w:sz w:val="48"/>
          <w:szCs w:val="24"/>
        </w:rPr>
        <w:t>2018年度部门决算表</w:t>
      </w: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pPr>
    </w:p>
    <w:p>
      <w:pPr>
        <w:widowControl/>
        <w:spacing w:beforeLines="0" w:afterLines="0"/>
        <w:jc w:val="left"/>
        <w:rPr>
          <w:rFonts w:hint="default" w:ascii="黑体" w:hAnsi="宋体" w:eastAsia="黑体"/>
          <w:kern w:val="0"/>
          <w:sz w:val="28"/>
          <w:szCs w:val="24"/>
        </w:rPr>
        <w:sectPr>
          <w:pgSz w:w="11906" w:h="16838"/>
          <w:pgMar w:top="1440" w:right="1800" w:bottom="1440" w:left="1800" w:header="720" w:footer="720" w:gutter="0"/>
          <w:pgNumType w:fmt="numberInDash"/>
          <w:cols w:space="720" w:num="1"/>
          <w:docGrid w:type="lines" w:linePitch="312" w:charSpace="0"/>
        </w:sectPr>
      </w:pPr>
    </w:p>
    <w:tbl>
      <w:tblPr>
        <w:tblStyle w:val="4"/>
        <w:tblpPr w:leftFromText="180" w:rightFromText="180" w:horzAnchor="margin" w:tblpXSpec="center" w:tblpY="-901"/>
        <w:tblW w:w="14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0"/>
        <w:gridCol w:w="580"/>
        <w:gridCol w:w="2821"/>
        <w:gridCol w:w="3659"/>
        <w:gridCol w:w="580"/>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422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5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821" w:type="dxa"/>
            <w:tcBorders>
              <w:top w:val="nil"/>
              <w:left w:val="nil"/>
              <w:bottom w:val="nil"/>
              <w:right w:val="nil"/>
              <w:tl2br w:val="nil"/>
              <w:tr2bl w:val="nil"/>
            </w:tcBorders>
            <w:noWrap/>
            <w:vAlign w:val="bottom"/>
          </w:tcPr>
          <w:p>
            <w:pPr>
              <w:widowControl/>
              <w:spacing w:beforeLines="0" w:afterLines="0"/>
              <w:jc w:val="center"/>
              <w:rPr>
                <w:rFonts w:hint="eastAsia" w:cs="宋体"/>
                <w:color w:val="000000"/>
                <w:kern w:val="0"/>
                <w:sz w:val="30"/>
                <w:szCs w:val="24"/>
              </w:rPr>
            </w:pPr>
            <w:r>
              <w:rPr>
                <w:rFonts w:hint="eastAsia" w:ascii="宋体" w:hAnsi="宋体" w:cs="宋体"/>
                <w:color w:val="000000"/>
                <w:kern w:val="0"/>
                <w:sz w:val="30"/>
                <w:szCs w:val="24"/>
              </w:rPr>
              <w:t>收入支出决算总表</w:t>
            </w:r>
          </w:p>
        </w:tc>
        <w:tc>
          <w:tcPr>
            <w:tcW w:w="365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5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2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5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82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65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5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220" w:type="dxa"/>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5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82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65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5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21" w:type="dxa"/>
            <w:gridSpan w:val="3"/>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收入</w:t>
            </w:r>
          </w:p>
        </w:tc>
        <w:tc>
          <w:tcPr>
            <w:tcW w:w="6499" w:type="dxa"/>
            <w:gridSpan w:val="3"/>
            <w:tcBorders>
              <w:top w:val="single" w:color="000000" w:sz="4" w:space="0"/>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行次</w:t>
            </w:r>
          </w:p>
        </w:tc>
        <w:tc>
          <w:tcPr>
            <w:tcW w:w="282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金额</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行次</w:t>
            </w:r>
          </w:p>
        </w:tc>
        <w:tc>
          <w:tcPr>
            <w:tcW w:w="226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栏次</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　</w:t>
            </w:r>
          </w:p>
        </w:tc>
        <w:tc>
          <w:tcPr>
            <w:tcW w:w="282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栏次</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　</w:t>
            </w:r>
          </w:p>
        </w:tc>
        <w:tc>
          <w:tcPr>
            <w:tcW w:w="226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一、财政拨款收入</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241.00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一、一般公共服务支出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二、上级补助收入</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二、外交支出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29</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三、事业收入</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三、国防支出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四、经营收入</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四、公共安全支出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31</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五、附属单位上缴收入</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五、教育支出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六、其他收入</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6</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六、科学技术支出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33</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7</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七、文化体育与传媒支出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34</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8</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八、社会保障和就业支出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9</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九、医疗卫生与计划生育支出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36</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10</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十、节能环保支出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37</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11</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十一、城乡社区支出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12</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十二、农林水支出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39</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13</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十三、交通运输支出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14</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十四、资源勘探信息等支出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41</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15</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十五、商业服务业等支出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16</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十六、金融支出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43</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17</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十七、援助其他地区支出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44</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18</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十八、国土海洋气象等支出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19</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十九、住房保障支出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46</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20</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二十、粮油物资储备支出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47</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21</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二十一、其他支出</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22</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49</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本年收入合计</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23</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241.00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本年支出合计</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244.65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用事业基金弥补收支差额</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24</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结余分配</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51</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年初结转和结余</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25</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31.92</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年末结转和结余</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26</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53</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2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总计</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27</w:t>
            </w:r>
          </w:p>
        </w:tc>
        <w:tc>
          <w:tcPr>
            <w:tcW w:w="2821"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272.92</w:t>
            </w:r>
          </w:p>
        </w:tc>
        <w:tc>
          <w:tcPr>
            <w:tcW w:w="3659"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总计</w:t>
            </w:r>
          </w:p>
        </w:tc>
        <w:tc>
          <w:tcPr>
            <w:tcW w:w="5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54</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272.92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20" w:type="dxa"/>
            <w:gridSpan w:val="6"/>
            <w:tcBorders>
              <w:top w:val="nil"/>
              <w:left w:val="nil"/>
              <w:bottom w:val="nil"/>
              <w:right w:val="nil"/>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注：本表反映部门本年度的总收支和年末结转结余情况。本表金额转换为万元时，因四舍五入可能存在尾差。</w:t>
            </w:r>
          </w:p>
        </w:tc>
      </w:tr>
    </w:tbl>
    <w:tbl>
      <w:tblPr>
        <w:tblStyle w:val="4"/>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
        <w:gridCol w:w="340"/>
        <w:gridCol w:w="340"/>
        <w:gridCol w:w="3940"/>
        <w:gridCol w:w="1280"/>
        <w:gridCol w:w="1280"/>
        <w:gridCol w:w="1280"/>
        <w:gridCol w:w="1280"/>
        <w:gridCol w:w="1280"/>
        <w:gridCol w:w="1280"/>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11"/>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30"/>
                <w:szCs w:val="24"/>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9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43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960" w:type="dxa"/>
            <w:gridSpan w:val="4"/>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43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0" w:type="dxa"/>
            <w:gridSpan w:val="4"/>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w:t>
            </w:r>
          </w:p>
        </w:tc>
        <w:tc>
          <w:tcPr>
            <w:tcW w:w="12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本年收入合计</w:t>
            </w:r>
          </w:p>
        </w:tc>
        <w:tc>
          <w:tcPr>
            <w:tcW w:w="12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财政拨款收入</w:t>
            </w:r>
          </w:p>
        </w:tc>
        <w:tc>
          <w:tcPr>
            <w:tcW w:w="12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上级补助收入</w:t>
            </w:r>
          </w:p>
        </w:tc>
        <w:tc>
          <w:tcPr>
            <w:tcW w:w="12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事业收入</w:t>
            </w:r>
          </w:p>
        </w:tc>
        <w:tc>
          <w:tcPr>
            <w:tcW w:w="12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经营收入</w:t>
            </w:r>
          </w:p>
        </w:tc>
        <w:tc>
          <w:tcPr>
            <w:tcW w:w="12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附属单位上缴收入</w:t>
            </w:r>
          </w:p>
        </w:tc>
        <w:tc>
          <w:tcPr>
            <w:tcW w:w="143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功能分类科目编码</w:t>
            </w:r>
          </w:p>
        </w:tc>
        <w:tc>
          <w:tcPr>
            <w:tcW w:w="3940" w:type="dxa"/>
            <w:vMerge w:val="restart"/>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科目名称</w:t>
            </w: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43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39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43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39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2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43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栏次</w:t>
            </w:r>
          </w:p>
        </w:tc>
        <w:tc>
          <w:tcPr>
            <w:tcW w:w="128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128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c>
          <w:tcPr>
            <w:tcW w:w="128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w:t>
            </w:r>
          </w:p>
        </w:tc>
        <w:tc>
          <w:tcPr>
            <w:tcW w:w="128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w:t>
            </w:r>
          </w:p>
        </w:tc>
        <w:tc>
          <w:tcPr>
            <w:tcW w:w="128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w:t>
            </w:r>
          </w:p>
        </w:tc>
        <w:tc>
          <w:tcPr>
            <w:tcW w:w="128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6</w:t>
            </w:r>
          </w:p>
        </w:tc>
        <w:tc>
          <w:tcPr>
            <w:tcW w:w="1430"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合计</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241.00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241.00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社会保障和就业支出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20805</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行政事业单位离退休</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2080505</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机关事业单位基本养老保险缴费支出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20899</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其他社会保障和就业支出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2089901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其他社会保障和就业支出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医疗卫生与计划生育支出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21011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行政事业单位医疗</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2101101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行政单位医疗</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资源勘探信息等支出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211.03</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211.03</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安全生产监管</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211.03</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211.03</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2150601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行政运行</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139.10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139.10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2150603</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机关服务</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63.75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63.75</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2150699</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其他安全生产监管支出</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8.18</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8.18</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2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3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0" w:type="dxa"/>
            <w:gridSpan w:val="11"/>
            <w:tcBorders>
              <w:top w:val="nil"/>
              <w:left w:val="nil"/>
              <w:bottom w:val="nil"/>
              <w:right w:val="nil"/>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注：本表反映部门本年度取得的各项收入情况。本表金额转换为万元时，因四舍五入可能存在尾差。</w:t>
            </w:r>
          </w:p>
        </w:tc>
      </w:tr>
    </w:tbl>
    <w:p>
      <w:pPr>
        <w:autoSpaceDE w:val="0"/>
        <w:autoSpaceDN w:val="0"/>
        <w:adjustRightInd w:val="0"/>
        <w:spacing w:beforeLines="0" w:afterLines="0"/>
        <w:jc w:val="left"/>
        <w:rPr>
          <w:rFonts w:hint="default" w:ascii="宋体"/>
          <w:kern w:val="0"/>
          <w:sz w:val="38"/>
          <w:szCs w:val="24"/>
          <w:lang w:val="zh-CN"/>
        </w:rPr>
      </w:pPr>
      <w:r>
        <w:rPr>
          <w:rFonts w:hint="default" w:ascii="宋体"/>
          <w:kern w:val="0"/>
          <w:sz w:val="38"/>
          <w:szCs w:val="24"/>
          <w:lang w:val="zh-CN"/>
        </w:rPr>
        <w:br w:type="page"/>
      </w:r>
    </w:p>
    <w:tbl>
      <w:tblPr>
        <w:tblStyle w:val="4"/>
        <w:tblW w:w="1354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9"/>
        <w:gridCol w:w="349"/>
        <w:gridCol w:w="350"/>
        <w:gridCol w:w="2012"/>
        <w:gridCol w:w="596"/>
        <w:gridCol w:w="1192"/>
        <w:gridCol w:w="247"/>
        <w:gridCol w:w="1397"/>
        <w:gridCol w:w="1397"/>
        <w:gridCol w:w="143"/>
        <w:gridCol w:w="596"/>
        <w:gridCol w:w="658"/>
        <w:gridCol w:w="452"/>
        <w:gridCol w:w="945"/>
        <w:gridCol w:w="390"/>
        <w:gridCol w:w="1007"/>
        <w:gridCol w:w="461"/>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13547" w:type="dxa"/>
            <w:gridSpan w:val="18"/>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30"/>
                <w:szCs w:val="2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34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4047" w:type="dxa"/>
            <w:gridSpan w:val="4"/>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gridSpan w:val="3"/>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gridSpan w:val="2"/>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gridSpan w:val="2"/>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469" w:type="dxa"/>
            <w:gridSpan w:val="2"/>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5095" w:type="dxa"/>
            <w:gridSpan w:val="7"/>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1397"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gridSpan w:val="3"/>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gridSpan w:val="2"/>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97" w:type="dxa"/>
            <w:gridSpan w:val="2"/>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469" w:type="dxa"/>
            <w:gridSpan w:val="2"/>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095" w:type="dxa"/>
            <w:gridSpan w:val="7"/>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w:t>
            </w:r>
          </w:p>
        </w:tc>
        <w:tc>
          <w:tcPr>
            <w:tcW w:w="1397"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本年支出合计</w:t>
            </w:r>
          </w:p>
        </w:tc>
        <w:tc>
          <w:tcPr>
            <w:tcW w:w="1397"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基本支出</w:t>
            </w:r>
          </w:p>
        </w:tc>
        <w:tc>
          <w:tcPr>
            <w:tcW w:w="1397" w:type="dxa"/>
            <w:gridSpan w:val="3"/>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项目支出</w:t>
            </w:r>
          </w:p>
        </w:tc>
        <w:tc>
          <w:tcPr>
            <w:tcW w:w="1397" w:type="dxa"/>
            <w:gridSpan w:val="2"/>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上缴上级支出</w:t>
            </w:r>
          </w:p>
        </w:tc>
        <w:tc>
          <w:tcPr>
            <w:tcW w:w="1397" w:type="dxa"/>
            <w:gridSpan w:val="2"/>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经营支出</w:t>
            </w:r>
          </w:p>
        </w:tc>
        <w:tc>
          <w:tcPr>
            <w:tcW w:w="1469" w:type="dxa"/>
            <w:gridSpan w:val="2"/>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48" w:type="dxa"/>
            <w:gridSpan w:val="3"/>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功能分类科目编码</w:t>
            </w:r>
          </w:p>
        </w:tc>
        <w:tc>
          <w:tcPr>
            <w:tcW w:w="4047" w:type="dxa"/>
            <w:gridSpan w:val="4"/>
            <w:vMerge w:val="restart"/>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科目名称</w:t>
            </w:r>
          </w:p>
        </w:tc>
        <w:tc>
          <w:tcPr>
            <w:tcW w:w="1397"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3"/>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469"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48"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4047" w:type="dxa"/>
            <w:gridSpan w:val="4"/>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3"/>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469"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48"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4047" w:type="dxa"/>
            <w:gridSpan w:val="4"/>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3"/>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397"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469" w:type="dxa"/>
            <w:gridSpan w:val="2"/>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095" w:type="dxa"/>
            <w:gridSpan w:val="7"/>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栏次</w:t>
            </w:r>
          </w:p>
        </w:tc>
        <w:tc>
          <w:tcPr>
            <w:tcW w:w="1397"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1397"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c>
          <w:tcPr>
            <w:tcW w:w="1397" w:type="dxa"/>
            <w:gridSpan w:val="3"/>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w:t>
            </w:r>
          </w:p>
        </w:tc>
        <w:tc>
          <w:tcPr>
            <w:tcW w:w="1397" w:type="dxa"/>
            <w:gridSpan w:val="2"/>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w:t>
            </w:r>
          </w:p>
        </w:tc>
        <w:tc>
          <w:tcPr>
            <w:tcW w:w="1397" w:type="dxa"/>
            <w:gridSpan w:val="2"/>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w:t>
            </w:r>
          </w:p>
        </w:tc>
        <w:tc>
          <w:tcPr>
            <w:tcW w:w="1469" w:type="dxa"/>
            <w:gridSpan w:val="2"/>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5095" w:type="dxa"/>
            <w:gridSpan w:val="7"/>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合计</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244.65</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244.65</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社会保障和就业支出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20805</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行政事业单位离退休</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2080505</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机关事业单位基本养老保险缴费支出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20899</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其他社会保障和就业支出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2089901</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其他社会保障和就业支出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医疗卫生与计划生育支出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21011</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行政事业单位医疗</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2101101</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行政单位医疗</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资源勘探信息等支出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安全生产监管</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2150601</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行政运行</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139.10</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139.10</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2150603</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机关服务</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63.75</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63.75</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048"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2150699</w:t>
            </w:r>
          </w:p>
        </w:tc>
        <w:tc>
          <w:tcPr>
            <w:tcW w:w="4047" w:type="dxa"/>
            <w:gridSpan w:val="4"/>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其他安全生产监管支出</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11.82</w:t>
            </w:r>
          </w:p>
        </w:tc>
        <w:tc>
          <w:tcPr>
            <w:tcW w:w="1397"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11.82</w:t>
            </w:r>
          </w:p>
        </w:tc>
        <w:tc>
          <w:tcPr>
            <w:tcW w:w="1397" w:type="dxa"/>
            <w:gridSpan w:val="3"/>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397"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c>
          <w:tcPr>
            <w:tcW w:w="1469"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13547" w:type="dxa"/>
            <w:gridSpan w:val="18"/>
            <w:tcBorders>
              <w:top w:val="nil"/>
              <w:left w:val="nil"/>
              <w:bottom w:val="nil"/>
              <w:right w:val="nil"/>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注：本表反映部门本年度各项支出情况。本表金额转换为万元时，因四舍五入可能存在尾差。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246" w:hRule="atLeast"/>
        </w:trPr>
        <w:tc>
          <w:tcPr>
            <w:tcW w:w="12541" w:type="dxa"/>
            <w:gridSpan w:val="17"/>
            <w:tcBorders>
              <w:top w:val="nil"/>
              <w:left w:val="nil"/>
              <w:bottom w:val="nil"/>
              <w:right w:val="nil"/>
              <w:tl2br w:val="nil"/>
              <w:tr2bl w:val="nil"/>
            </w:tcBorders>
            <w:noWrap/>
            <w:vAlign w:val="bottom"/>
          </w:tcPr>
          <w:p>
            <w:pPr>
              <w:widowControl/>
              <w:spacing w:beforeLines="0" w:afterLines="0"/>
              <w:jc w:val="center"/>
              <w:rPr>
                <w:rFonts w:hint="eastAsia" w:cs="宋体"/>
                <w:color w:val="000000"/>
                <w:kern w:val="0"/>
                <w:sz w:val="30"/>
                <w:szCs w:val="24"/>
              </w:rPr>
            </w:pPr>
          </w:p>
          <w:p>
            <w:pPr>
              <w:widowControl/>
              <w:spacing w:beforeLines="0" w:afterLines="0"/>
              <w:jc w:val="center"/>
              <w:rPr>
                <w:rFonts w:hint="eastAsia" w:cs="宋体"/>
                <w:color w:val="000000"/>
                <w:kern w:val="0"/>
                <w:sz w:val="30"/>
                <w:szCs w:val="24"/>
              </w:rPr>
            </w:pPr>
          </w:p>
          <w:p>
            <w:pPr>
              <w:widowControl/>
              <w:spacing w:beforeLines="0" w:afterLines="0"/>
              <w:jc w:val="center"/>
              <w:rPr>
                <w:rFonts w:hint="eastAsia" w:cs="宋体"/>
                <w:color w:val="000000"/>
                <w:kern w:val="0"/>
                <w:sz w:val="30"/>
                <w:szCs w:val="24"/>
              </w:rPr>
            </w:pPr>
          </w:p>
          <w:p>
            <w:pPr>
              <w:widowControl/>
              <w:spacing w:beforeLines="0" w:afterLines="0"/>
              <w:jc w:val="center"/>
              <w:rPr>
                <w:rFonts w:hint="eastAsia" w:cs="宋体"/>
                <w:color w:val="000000"/>
                <w:kern w:val="0"/>
                <w:sz w:val="30"/>
                <w:szCs w:val="24"/>
              </w:rPr>
            </w:pPr>
          </w:p>
          <w:p>
            <w:pPr>
              <w:widowControl/>
              <w:spacing w:beforeLines="0" w:afterLines="0"/>
              <w:jc w:val="center"/>
              <w:rPr>
                <w:rFonts w:hint="eastAsia" w:cs="宋体"/>
                <w:color w:val="000000"/>
                <w:kern w:val="0"/>
                <w:sz w:val="30"/>
                <w:szCs w:val="24"/>
              </w:rPr>
            </w:pPr>
          </w:p>
          <w:p>
            <w:pPr>
              <w:widowControl/>
              <w:spacing w:beforeLines="0" w:afterLines="0"/>
              <w:jc w:val="center"/>
              <w:rPr>
                <w:rFonts w:hint="eastAsia" w:cs="宋体"/>
                <w:color w:val="000000"/>
                <w:kern w:val="0"/>
                <w:sz w:val="30"/>
                <w:szCs w:val="24"/>
              </w:rPr>
            </w:pPr>
          </w:p>
          <w:p>
            <w:pPr>
              <w:widowControl/>
              <w:spacing w:beforeLines="0" w:afterLines="0"/>
              <w:jc w:val="center"/>
              <w:rPr>
                <w:rFonts w:hint="eastAsia" w:cs="宋体"/>
                <w:color w:val="000000"/>
                <w:kern w:val="0"/>
                <w:sz w:val="30"/>
                <w:szCs w:val="24"/>
              </w:rPr>
            </w:pPr>
          </w:p>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30"/>
                <w:szCs w:val="24"/>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61" w:hRule="atLeast"/>
        </w:trPr>
        <w:tc>
          <w:tcPr>
            <w:tcW w:w="3060" w:type="dxa"/>
            <w:gridSpan w:val="4"/>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596" w:type="dxa"/>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192" w:type="dxa"/>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3184" w:type="dxa"/>
            <w:gridSpan w:val="4"/>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596" w:type="dxa"/>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110" w:type="dxa"/>
            <w:gridSpan w:val="2"/>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335" w:type="dxa"/>
            <w:gridSpan w:val="2"/>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468" w:type="dxa"/>
            <w:gridSpan w:val="2"/>
            <w:tcBorders>
              <w:top w:val="nil"/>
              <w:left w:val="nil"/>
              <w:bottom w:val="nil"/>
              <w:right w:val="nil"/>
              <w:tl2br w:val="nil"/>
              <w:tr2bl w:val="nil"/>
            </w:tcBorders>
            <w:noWrap/>
            <w:vAlign w:val="bottom"/>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61" w:hRule="atLeast"/>
        </w:trPr>
        <w:tc>
          <w:tcPr>
            <w:tcW w:w="3656" w:type="dxa"/>
            <w:gridSpan w:val="5"/>
            <w:tcBorders>
              <w:top w:val="nil"/>
              <w:left w:val="nil"/>
              <w:bottom w:val="nil"/>
              <w:right w:val="nil"/>
              <w:tl2br w:val="nil"/>
              <w:tr2bl w:val="nil"/>
            </w:tcBorders>
            <w:noWrap/>
            <w:vAlign w:val="bottom"/>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1192" w:type="dxa"/>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3184" w:type="dxa"/>
            <w:gridSpan w:val="4"/>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596" w:type="dxa"/>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110" w:type="dxa"/>
            <w:gridSpan w:val="2"/>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335" w:type="dxa"/>
            <w:gridSpan w:val="2"/>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p>
        </w:tc>
        <w:tc>
          <w:tcPr>
            <w:tcW w:w="1468" w:type="dxa"/>
            <w:gridSpan w:val="2"/>
            <w:tcBorders>
              <w:top w:val="nil"/>
              <w:left w:val="nil"/>
              <w:bottom w:val="nil"/>
              <w:right w:val="nil"/>
              <w:tl2br w:val="nil"/>
              <w:tr2bl w:val="nil"/>
            </w:tcBorders>
            <w:noWrap/>
            <w:vAlign w:val="bottom"/>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94" w:hRule="atLeast"/>
        </w:trPr>
        <w:tc>
          <w:tcPr>
            <w:tcW w:w="4848" w:type="dxa"/>
            <w:gridSpan w:val="6"/>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收     入</w:t>
            </w:r>
          </w:p>
        </w:tc>
        <w:tc>
          <w:tcPr>
            <w:tcW w:w="7693" w:type="dxa"/>
            <w:gridSpan w:val="11"/>
            <w:tcBorders>
              <w:top w:val="single" w:color="000000" w:sz="4" w:space="0"/>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292" w:hRule="atLeast"/>
        </w:trPr>
        <w:tc>
          <w:tcPr>
            <w:tcW w:w="3060" w:type="dxa"/>
            <w:gridSpan w:val="4"/>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项目</w:t>
            </w:r>
          </w:p>
        </w:tc>
        <w:tc>
          <w:tcPr>
            <w:tcW w:w="596"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行次</w:t>
            </w:r>
          </w:p>
        </w:tc>
        <w:tc>
          <w:tcPr>
            <w:tcW w:w="1192"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金额</w:t>
            </w:r>
          </w:p>
        </w:tc>
        <w:tc>
          <w:tcPr>
            <w:tcW w:w="3184" w:type="dxa"/>
            <w:gridSpan w:val="4"/>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项目</w:t>
            </w:r>
          </w:p>
        </w:tc>
        <w:tc>
          <w:tcPr>
            <w:tcW w:w="596"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行次</w:t>
            </w:r>
          </w:p>
        </w:tc>
        <w:tc>
          <w:tcPr>
            <w:tcW w:w="1110" w:type="dxa"/>
            <w:gridSpan w:val="2"/>
            <w:vMerge w:val="restart"/>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合计</w:t>
            </w:r>
          </w:p>
        </w:tc>
        <w:tc>
          <w:tcPr>
            <w:tcW w:w="1335" w:type="dxa"/>
            <w:gridSpan w:val="2"/>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一般公共预算财政拨款</w:t>
            </w:r>
          </w:p>
        </w:tc>
        <w:tc>
          <w:tcPr>
            <w:tcW w:w="1468" w:type="dxa"/>
            <w:gridSpan w:val="2"/>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292" w:hRule="atLeast"/>
        </w:trPr>
        <w:tc>
          <w:tcPr>
            <w:tcW w:w="3060" w:type="dxa"/>
            <w:gridSpan w:val="4"/>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596"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1192"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3184" w:type="dxa"/>
            <w:gridSpan w:val="4"/>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596"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1110" w:type="dxa"/>
            <w:gridSpan w:val="2"/>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1335" w:type="dxa"/>
            <w:gridSpan w:val="2"/>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c>
          <w:tcPr>
            <w:tcW w:w="1468" w:type="dxa"/>
            <w:gridSpan w:val="2"/>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cs="宋体"/>
                <w:color w:val="000000"/>
                <w:kern w:val="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栏次</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1192"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栏次</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1110" w:type="dxa"/>
            <w:gridSpan w:val="2"/>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w:t>
            </w:r>
          </w:p>
        </w:tc>
        <w:tc>
          <w:tcPr>
            <w:tcW w:w="1335" w:type="dxa"/>
            <w:gridSpan w:val="2"/>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w:t>
            </w:r>
          </w:p>
        </w:tc>
        <w:tc>
          <w:tcPr>
            <w:tcW w:w="1468" w:type="dxa"/>
            <w:gridSpan w:val="2"/>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一、一般公共预算财政拨款</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241.00</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一、一般公共服务支出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28</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二、政府性基金预算财政拨款</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二、外交支出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29</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三、国防支出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30</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四、公共安全支出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31</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5</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五、教育支出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32</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6</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六、科学技术支出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33</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7</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七、文化体育与传媒支出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34</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8</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八、社会保障和就业支出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35</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23.15</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23.15</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9</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九、医疗卫生与计划生育支出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36</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6.82</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6.82</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10</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十、节能环保支出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37</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11</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十一、城乡社区支出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38</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12</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十二、农林水支出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39</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13</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十三、交通运输支出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40</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14</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十四、资源勘探信息等支出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41</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214.68</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214.68</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15</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十五、商业服务业等支出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42</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16</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十六、金融支出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43</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17</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十七、援助其他地区支出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44</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18</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十八、国土海洋气象等支出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45</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19</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十九、住房保障支出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46</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20</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二十、粮油物资储备支出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47</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21</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二十一、其他支出</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48</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b/>
                <w:color w:val="000000"/>
                <w:kern w:val="0"/>
                <w:sz w:val="20"/>
                <w:szCs w:val="24"/>
              </w:rPr>
            </w:pPr>
            <w:r>
              <w:rPr>
                <w:rFonts w:hint="eastAsia" w:ascii="宋体" w:hAnsi="宋体" w:cs="宋体"/>
                <w:b/>
                <w:color w:val="000000"/>
                <w:kern w:val="0"/>
                <w:sz w:val="20"/>
                <w:szCs w:val="24"/>
              </w:rPr>
              <w:t>本年收入合计</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22</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241.00</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b/>
                <w:color w:val="000000"/>
                <w:kern w:val="0"/>
                <w:sz w:val="20"/>
                <w:szCs w:val="24"/>
              </w:rPr>
            </w:pPr>
            <w:r>
              <w:rPr>
                <w:rFonts w:hint="eastAsia" w:ascii="宋体" w:hAnsi="宋体" w:cs="宋体"/>
                <w:b/>
                <w:color w:val="000000"/>
                <w:kern w:val="0"/>
                <w:sz w:val="20"/>
                <w:szCs w:val="24"/>
              </w:rPr>
              <w:t>本年支出合计</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49</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244.65</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244.65</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年初财政拨款结转和结余</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23</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31.92</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年末财政拨款结转和结余</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50</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28.27</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28.27</w:t>
            </w: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一般公共预算财政拨款</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24</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31.92</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51</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政府性基金预算财政拨款</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25</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52</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26</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53</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c>
          <w:tcPr>
            <w:tcW w:w="1468"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30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b/>
                <w:color w:val="000000"/>
                <w:kern w:val="0"/>
                <w:sz w:val="20"/>
                <w:szCs w:val="24"/>
              </w:rPr>
            </w:pPr>
            <w:r>
              <w:rPr>
                <w:rFonts w:hint="eastAsia" w:ascii="宋体" w:hAnsi="宋体" w:cs="宋体"/>
                <w:b/>
                <w:color w:val="000000"/>
                <w:kern w:val="0"/>
                <w:sz w:val="20"/>
                <w:szCs w:val="24"/>
              </w:rPr>
              <w:t>总计</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27</w:t>
            </w:r>
          </w:p>
        </w:tc>
        <w:tc>
          <w:tcPr>
            <w:tcW w:w="1192"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272.92</w:t>
            </w:r>
          </w:p>
        </w:tc>
        <w:tc>
          <w:tcPr>
            <w:tcW w:w="3184" w:type="dxa"/>
            <w:gridSpan w:val="4"/>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b/>
                <w:color w:val="000000"/>
                <w:kern w:val="0"/>
                <w:sz w:val="20"/>
                <w:szCs w:val="24"/>
              </w:rPr>
            </w:pPr>
            <w:r>
              <w:rPr>
                <w:rFonts w:hint="eastAsia" w:ascii="宋体" w:hAnsi="宋体" w:cs="宋体"/>
                <w:b/>
                <w:color w:val="000000"/>
                <w:kern w:val="0"/>
                <w:sz w:val="20"/>
                <w:szCs w:val="24"/>
              </w:rPr>
              <w:t>总计</w:t>
            </w:r>
          </w:p>
        </w:tc>
        <w:tc>
          <w:tcPr>
            <w:tcW w:w="596"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54</w:t>
            </w:r>
          </w:p>
        </w:tc>
        <w:tc>
          <w:tcPr>
            <w:tcW w:w="111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272.92</w:t>
            </w:r>
          </w:p>
        </w:tc>
        <w:tc>
          <w:tcPr>
            <w:tcW w:w="1335"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272.92</w:t>
            </w:r>
          </w:p>
        </w:tc>
        <w:tc>
          <w:tcPr>
            <w:tcW w:w="1468" w:type="dxa"/>
            <w:gridSpan w:val="2"/>
            <w:tcBorders>
              <w:top w:val="nil"/>
              <w:left w:val="nil"/>
              <w:bottom w:val="single" w:color="000000" w:sz="4" w:space="0"/>
              <w:right w:val="single" w:color="000000" w:sz="4" w:space="0"/>
              <w:tl2br w:val="nil"/>
              <w:tr2bl w:val="nil"/>
            </w:tcBorders>
            <w:noWrap w:val="0"/>
            <w:vAlign w:val="center"/>
          </w:tcPr>
          <w:p>
            <w:pPr>
              <w:widowControl/>
              <w:spacing w:beforeLines="0" w:afterLines="0"/>
              <w:jc w:val="center"/>
              <w:rPr>
                <w:rFonts w:hint="eastAsia" w:ascii="宋体" w:hAnsi="宋体" w:cs="宋体"/>
                <w:color w:val="000000"/>
                <w:kern w:val="0"/>
                <w:sz w:val="20"/>
                <w:szCs w:val="24"/>
              </w:rPr>
            </w:pPr>
            <w:r>
              <w:rPr>
                <w:rFonts w:hint="eastAsia" w:ascii="宋体" w:hAnsi="宋体"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008" w:type="dxa"/>
          <w:trHeight w:val="151" w:hRule="atLeast"/>
        </w:trPr>
        <w:tc>
          <w:tcPr>
            <w:tcW w:w="12541" w:type="dxa"/>
            <w:gridSpan w:val="17"/>
            <w:tcBorders>
              <w:top w:val="nil"/>
              <w:left w:val="nil"/>
              <w:bottom w:val="nil"/>
              <w:right w:val="nil"/>
              <w:tl2br w:val="nil"/>
              <w:tr2bl w:val="nil"/>
            </w:tcBorders>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注：本表反映部门本年度一般公共预算财政拨款和政府性基金预算财政拨款的总收支和年末结转结余情况。本表金额转换为万元时，因四舍五入可能存在尾差。</w:t>
            </w:r>
          </w:p>
        </w:tc>
      </w:tr>
    </w:tbl>
    <w:p>
      <w:pPr>
        <w:autoSpaceDE w:val="0"/>
        <w:autoSpaceDN w:val="0"/>
        <w:adjustRightInd w:val="0"/>
        <w:spacing w:beforeLines="0" w:afterLines="0"/>
        <w:jc w:val="left"/>
        <w:rPr>
          <w:rFonts w:hint="default" w:ascii="宋体"/>
          <w:kern w:val="0"/>
          <w:sz w:val="38"/>
          <w:szCs w:val="24"/>
          <w:lang w:val="zh-CN"/>
        </w:rPr>
      </w:pPr>
    </w:p>
    <w:p>
      <w:pPr>
        <w:autoSpaceDE w:val="0"/>
        <w:autoSpaceDN w:val="0"/>
        <w:adjustRightInd w:val="0"/>
        <w:spacing w:beforeLines="0" w:afterLines="0"/>
        <w:jc w:val="left"/>
        <w:rPr>
          <w:rFonts w:hint="default" w:ascii="宋体"/>
          <w:kern w:val="0"/>
          <w:sz w:val="38"/>
          <w:szCs w:val="24"/>
          <w:lang w:val="zh-CN"/>
        </w:rPr>
      </w:pPr>
      <w:r>
        <w:rPr>
          <w:rFonts w:hint="default" w:ascii="宋体"/>
          <w:kern w:val="0"/>
          <w:sz w:val="38"/>
          <w:szCs w:val="24"/>
          <w:lang w:val="zh-CN"/>
        </w:rPr>
        <w:br w:type="page"/>
      </w:r>
    </w:p>
    <w:tbl>
      <w:tblPr>
        <w:tblStyle w:val="4"/>
        <w:tblW w:w="11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
        <w:gridCol w:w="340"/>
        <w:gridCol w:w="340"/>
        <w:gridCol w:w="3940"/>
        <w:gridCol w:w="2260"/>
        <w:gridCol w:w="2260"/>
        <w:gridCol w:w="2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6" w:hRule="atLeast"/>
          <w:jc w:val="center"/>
        </w:trPr>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720" w:type="dxa"/>
            <w:gridSpan w:val="4"/>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30"/>
                <w:szCs w:val="24"/>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9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4960" w:type="dxa"/>
            <w:gridSpan w:val="4"/>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22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26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60" w:type="dxa"/>
            <w:gridSpan w:val="4"/>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w:t>
            </w:r>
          </w:p>
        </w:tc>
        <w:tc>
          <w:tcPr>
            <w:tcW w:w="6780" w:type="dxa"/>
            <w:gridSpan w:val="3"/>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功能分类科目编码</w:t>
            </w:r>
          </w:p>
        </w:tc>
        <w:tc>
          <w:tcPr>
            <w:tcW w:w="3940" w:type="dxa"/>
            <w:vMerge w:val="restart"/>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科目名称</w:t>
            </w:r>
          </w:p>
        </w:tc>
        <w:tc>
          <w:tcPr>
            <w:tcW w:w="226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小计</w:t>
            </w:r>
          </w:p>
        </w:tc>
        <w:tc>
          <w:tcPr>
            <w:tcW w:w="226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基本支出</w:t>
            </w:r>
          </w:p>
        </w:tc>
        <w:tc>
          <w:tcPr>
            <w:tcW w:w="226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0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39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2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2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2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39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2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2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2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栏次</w:t>
            </w:r>
          </w:p>
        </w:tc>
        <w:tc>
          <w:tcPr>
            <w:tcW w:w="226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226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c>
          <w:tcPr>
            <w:tcW w:w="226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6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合计</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244.65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244.65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b/>
                <w:color w:val="000000"/>
                <w:kern w:val="0"/>
                <w:sz w:val="22"/>
                <w:szCs w:val="24"/>
              </w:rPr>
            </w:pPr>
            <w:r>
              <w:rPr>
                <w:rFonts w:hint="eastAsia" w:ascii="宋体" w:hAnsi="宋体" w:cs="宋体"/>
                <w:b/>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社会保障和就业支出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23.15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20805</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行政事业单位离退休</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2080505</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机关事业单位基本养老保险缴费支出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22.70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20899</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其他社会保障和就业支出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2089901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其他社会保障和就业支出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0.45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医疗卫生与计划生育支出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21011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行政事业单位医疗</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2101101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行政单位医疗</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资源勘探信息等支出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安全生产监管</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214.68</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2150601</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行政运行</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139.10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139.10</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2150603</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机关服务</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63.75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63.75</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ascii="宋体" w:hAnsi="宋体" w:cs="宋体"/>
                <w:color w:val="000000"/>
                <w:kern w:val="0"/>
                <w:sz w:val="22"/>
                <w:szCs w:val="24"/>
              </w:rPr>
            </w:pPr>
            <w:r>
              <w:rPr>
                <w:rFonts w:hint="eastAsia" w:ascii="宋体" w:hAnsi="宋体" w:cs="宋体"/>
                <w:color w:val="000000"/>
                <w:kern w:val="0"/>
                <w:sz w:val="22"/>
                <w:szCs w:val="24"/>
              </w:rPr>
              <w:t>2150699</w:t>
            </w:r>
          </w:p>
        </w:tc>
        <w:tc>
          <w:tcPr>
            <w:tcW w:w="394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xml:space="preserve">  其他安全生产监管支出</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11.82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11.82</w:t>
            </w:r>
          </w:p>
        </w:tc>
        <w:tc>
          <w:tcPr>
            <w:tcW w:w="226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2"/>
                <w:szCs w:val="24"/>
              </w:rPr>
            </w:pPr>
            <w:r>
              <w:rPr>
                <w:rFonts w:hint="eastAsia" w:ascii="宋体" w:hAnsi="宋体" w:cs="宋体"/>
                <w:color w:val="000000"/>
                <w:kern w:val="0"/>
                <w:sz w:val="22"/>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740" w:type="dxa"/>
            <w:gridSpan w:val="7"/>
            <w:tcBorders>
              <w:top w:val="nil"/>
              <w:left w:val="nil"/>
              <w:bottom w:val="nil"/>
              <w:right w:val="nil"/>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注：本表反映部门本年度一般公共预算财政拨款支出情况。本表金额转换为万元时，因四舍五入可能存在尾差。</w:t>
            </w:r>
          </w:p>
        </w:tc>
      </w:tr>
    </w:tbl>
    <w:p>
      <w:pPr>
        <w:autoSpaceDE w:val="0"/>
        <w:autoSpaceDN w:val="0"/>
        <w:adjustRightInd w:val="0"/>
        <w:spacing w:beforeLines="0" w:afterLines="0"/>
        <w:jc w:val="left"/>
        <w:rPr>
          <w:rFonts w:hint="default" w:ascii="宋体"/>
          <w:kern w:val="0"/>
          <w:sz w:val="38"/>
          <w:szCs w:val="24"/>
          <w:lang w:val="zh-CN"/>
        </w:rPr>
      </w:pPr>
    </w:p>
    <w:tbl>
      <w:tblPr>
        <w:tblStyle w:val="4"/>
        <w:tblpPr w:leftFromText="180" w:rightFromText="180" w:horzAnchor="margin" w:tblpXSpec="center" w:tblpY="-541"/>
        <w:tblW w:w="146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40"/>
        <w:gridCol w:w="3030"/>
        <w:gridCol w:w="1060"/>
        <w:gridCol w:w="740"/>
        <w:gridCol w:w="2040"/>
        <w:gridCol w:w="1000"/>
        <w:gridCol w:w="740"/>
        <w:gridCol w:w="2431"/>
        <w:gridCol w:w="139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3861" w:type="dxa"/>
            <w:gridSpan w:val="9"/>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30"/>
                <w:szCs w:val="24"/>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03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7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0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0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7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830" w:type="dxa"/>
            <w:gridSpan w:val="2"/>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421"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4"/>
                <w:szCs w:val="24"/>
              </w:rPr>
            </w:pPr>
            <w:r>
              <w:rPr>
                <w:rFonts w:hint="eastAsia" w:ascii="宋体" w:hAnsi="宋体" w:cs="宋体"/>
                <w:color w:val="000000"/>
                <w:kern w:val="0"/>
                <w:sz w:val="24"/>
                <w:szCs w:val="24"/>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770" w:type="dxa"/>
            <w:gridSpan w:val="2"/>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106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7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0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0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7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830" w:type="dxa"/>
            <w:gridSpan w:val="2"/>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421"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18"/>
                <w:szCs w:val="24"/>
              </w:rPr>
            </w:pPr>
            <w:r>
              <w:rPr>
                <w:rFonts w:hint="eastAsia" w:ascii="宋体" w:hAnsi="宋体" w:cs="宋体"/>
                <w:color w:val="000000"/>
                <w:kern w:val="0"/>
                <w:sz w:val="18"/>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830" w:type="dxa"/>
            <w:gridSpan w:val="3"/>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人员经费</w:t>
            </w:r>
          </w:p>
        </w:tc>
        <w:tc>
          <w:tcPr>
            <w:tcW w:w="9771" w:type="dxa"/>
            <w:gridSpan w:val="7"/>
            <w:tcBorders>
              <w:top w:val="single" w:color="000000" w:sz="4" w:space="0"/>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40" w:type="dxa"/>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科目编码</w:t>
            </w:r>
          </w:p>
        </w:tc>
        <w:tc>
          <w:tcPr>
            <w:tcW w:w="303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科目名称</w:t>
            </w:r>
          </w:p>
        </w:tc>
        <w:tc>
          <w:tcPr>
            <w:tcW w:w="106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决算数</w:t>
            </w:r>
          </w:p>
        </w:tc>
        <w:tc>
          <w:tcPr>
            <w:tcW w:w="74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科目编码</w:t>
            </w:r>
          </w:p>
        </w:tc>
        <w:tc>
          <w:tcPr>
            <w:tcW w:w="204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科目名称</w:t>
            </w:r>
          </w:p>
        </w:tc>
        <w:tc>
          <w:tcPr>
            <w:tcW w:w="100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决算数</w:t>
            </w:r>
          </w:p>
        </w:tc>
        <w:tc>
          <w:tcPr>
            <w:tcW w:w="74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科目编码</w:t>
            </w:r>
          </w:p>
        </w:tc>
        <w:tc>
          <w:tcPr>
            <w:tcW w:w="2431"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科目名称</w:t>
            </w:r>
          </w:p>
        </w:tc>
        <w:tc>
          <w:tcPr>
            <w:tcW w:w="2820" w:type="dxa"/>
            <w:gridSpan w:val="2"/>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740" w:type="dxa"/>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303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106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7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20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100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74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2431"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c>
          <w:tcPr>
            <w:tcW w:w="2820" w:type="dxa"/>
            <w:gridSpan w:val="2"/>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0"/>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工资福利支出</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180.29</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商品和服务支出</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37.34</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307</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债务利息及费用支出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30101</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基本工资</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70.09</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30201</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办公费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4.62</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30701</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国内债务付息</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30102</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津贴补贴</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43.26</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30202</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印刷费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10.06</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30702</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国外债务付息</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30103</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奖金</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15.34</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30203</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咨询费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资本性支出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30106</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伙食补助费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30204</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手续费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31001</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房屋建筑物购建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30107</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绩效工资</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13.82</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30205</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水费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0.15</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31002</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办公设备购置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30108</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机关事业单位基本养老保险缴费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22.70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30206</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电费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1.52</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31003</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专用设备购置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30109</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职业年金缴费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30207</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邮电费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0.82</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31005</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基础设施建设</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30110</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职工基本医疗保险缴费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6.82</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30208</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取暖费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31006</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大型修缮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30111</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公务员医疗补助缴费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30209</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物业管理费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0.91</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31007</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信息网络及软件购置更新</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30112</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其他社会保障缴费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0.45</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30211</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差旅费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2.43</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31008</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物资储备</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30113</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住房公积金</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6.94</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30212</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因公出国（境）费用</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31009</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土地补偿</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30114</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医疗费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30213</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维修（护）费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1.39</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31010</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安置补助</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30199</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其他工资福利支出</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0.87</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30214</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租赁费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1.44</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31011</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地上附着物和青苗补偿</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对个人和家庭的补助</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24.76</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30215</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会议费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31012</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拆迁补偿</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30301</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离休费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17.13</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30216</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培训费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31013</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公务用车购置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30302</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退休费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30217</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公务接待费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31019</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其他交通工具购置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30303</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退职（役）费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30218</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专用材料费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31021</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文物和陈列品购置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30304</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抚恤金</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5.37</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30224</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被装购置费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31022</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无形资产购置</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30305</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生活补助</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0.18</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30225</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专用燃料费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31099</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其他资本性支出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30306</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救济费</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2.08</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30226</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劳务费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5.00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399</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其他支出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30307</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医疗费补助</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30227</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委托业务费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39906</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赠与</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30308</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助学金</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30228</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工会经费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0.35</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39907</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国家赔偿费用支出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30309</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奖励金</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30229</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福利费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0.39</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39908</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对民间非营利组织和群众性自治组织补贴</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30310</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个人农业生产补贴</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30231</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公务用车运行维护费</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39999</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其他支出</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30399</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其他对个人和家庭的补助支出</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cs="宋体"/>
                <w:color w:val="000000"/>
                <w:kern w:val="0"/>
                <w:sz w:val="20"/>
                <w:szCs w:val="24"/>
              </w:rPr>
              <w:t>0.00</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30239</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其他交通费用</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6.71</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　</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30240</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税金及附加费用</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0.33</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303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　</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ascii="宋体" w:hAnsi="宋体" w:cs="宋体"/>
                <w:color w:val="000000"/>
                <w:kern w:val="0"/>
                <w:sz w:val="20"/>
                <w:szCs w:val="24"/>
              </w:rPr>
            </w:pPr>
            <w:r>
              <w:rPr>
                <w:rFonts w:hint="eastAsia" w:ascii="宋体" w:hAnsi="宋体" w:cs="宋体"/>
                <w:color w:val="000000"/>
                <w:kern w:val="0"/>
                <w:sz w:val="20"/>
                <w:szCs w:val="24"/>
              </w:rPr>
              <w:t>30299</w:t>
            </w:r>
          </w:p>
        </w:tc>
        <w:tc>
          <w:tcPr>
            <w:tcW w:w="20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xml:space="preserve">  其他商品和服务支出</w:t>
            </w:r>
          </w:p>
        </w:tc>
        <w:tc>
          <w:tcPr>
            <w:tcW w:w="100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1.23</w:t>
            </w:r>
          </w:p>
        </w:tc>
        <w:tc>
          <w:tcPr>
            <w:tcW w:w="74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2431"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　</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3770" w:type="dxa"/>
            <w:gridSpan w:val="2"/>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人员经费合计</w:t>
            </w:r>
          </w:p>
        </w:tc>
        <w:tc>
          <w:tcPr>
            <w:tcW w:w="1060" w:type="dxa"/>
            <w:tcBorders>
              <w:top w:val="nil"/>
              <w:left w:val="nil"/>
              <w:bottom w:val="single" w:color="000000" w:sz="4" w:space="0"/>
              <w:right w:val="single" w:color="000000" w:sz="4" w:space="0"/>
              <w:tl2br w:val="nil"/>
              <w:tr2bl w:val="nil"/>
            </w:tcBorders>
            <w:shd w:val="clear" w:color="auto" w:fill="auto"/>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205.05</w:t>
            </w:r>
          </w:p>
        </w:tc>
        <w:tc>
          <w:tcPr>
            <w:tcW w:w="6951" w:type="dxa"/>
            <w:gridSpan w:val="5"/>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0"/>
                <w:szCs w:val="24"/>
              </w:rPr>
            </w:pPr>
            <w:r>
              <w:rPr>
                <w:rFonts w:hint="eastAsia" w:ascii="宋体" w:hAnsi="宋体" w:cs="宋体"/>
                <w:color w:val="000000"/>
                <w:kern w:val="0"/>
                <w:sz w:val="20"/>
                <w:szCs w:val="24"/>
              </w:rPr>
              <w:t>公用经费合计</w:t>
            </w:r>
          </w:p>
        </w:tc>
        <w:tc>
          <w:tcPr>
            <w:tcW w:w="2820" w:type="dxa"/>
            <w:gridSpan w:val="2"/>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ascii="宋体" w:hAnsi="宋体" w:cs="宋体"/>
                <w:color w:val="000000"/>
                <w:kern w:val="0"/>
                <w:sz w:val="20"/>
                <w:szCs w:val="24"/>
              </w:rPr>
            </w:pPr>
            <w:r>
              <w:rPr>
                <w:rFonts w:hint="eastAsia" w:ascii="宋体" w:hAnsi="宋体" w:cs="宋体"/>
                <w:color w:val="000000"/>
                <w:kern w:val="0"/>
                <w:sz w:val="20"/>
                <w:szCs w:val="24"/>
              </w:rPr>
              <w:t>39.60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4601" w:type="dxa"/>
            <w:gridSpan w:val="10"/>
            <w:tcBorders>
              <w:top w:val="nil"/>
              <w:left w:val="nil"/>
              <w:bottom w:val="nil"/>
              <w:right w:val="nil"/>
              <w:tl2br w:val="nil"/>
              <w:tr2bl w:val="nil"/>
            </w:tcBorders>
            <w:noWrap/>
            <w:vAlign w:val="center"/>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注：本表反映部门本年度一般公共预算财政拨款基本支出明细情况。本表金额转换为万元时，因四舍五入可能存在尾差。</w:t>
            </w:r>
          </w:p>
        </w:tc>
      </w:tr>
    </w:tbl>
    <w:tbl>
      <w:tblPr>
        <w:tblStyle w:val="4"/>
        <w:tblW w:w="128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1"/>
        <w:gridCol w:w="1009"/>
        <w:gridCol w:w="991"/>
        <w:gridCol w:w="991"/>
        <w:gridCol w:w="991"/>
        <w:gridCol w:w="1263"/>
        <w:gridCol w:w="991"/>
        <w:gridCol w:w="1009"/>
        <w:gridCol w:w="991"/>
        <w:gridCol w:w="991"/>
        <w:gridCol w:w="991"/>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2856" w:type="dxa"/>
            <w:gridSpan w:val="12"/>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44"/>
                <w:szCs w:val="24"/>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0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63"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0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47"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 w:hRule="atLeast"/>
        </w:trPr>
        <w:tc>
          <w:tcPr>
            <w:tcW w:w="3982" w:type="dxa"/>
            <w:gridSpan w:val="4"/>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263"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009"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991"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47"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236" w:type="dxa"/>
            <w:gridSpan w:val="6"/>
            <w:tcBorders>
              <w:top w:val="single" w:color="000000" w:sz="4" w:space="0"/>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预算数</w:t>
            </w:r>
          </w:p>
        </w:tc>
        <w:tc>
          <w:tcPr>
            <w:tcW w:w="6620" w:type="dxa"/>
            <w:gridSpan w:val="6"/>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991" w:type="dxa"/>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合计</w:t>
            </w:r>
          </w:p>
        </w:tc>
        <w:tc>
          <w:tcPr>
            <w:tcW w:w="1009"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因公出国（境）费</w:t>
            </w:r>
          </w:p>
        </w:tc>
        <w:tc>
          <w:tcPr>
            <w:tcW w:w="2973" w:type="dxa"/>
            <w:gridSpan w:val="3"/>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公务用车购置及运行费</w:t>
            </w:r>
          </w:p>
        </w:tc>
        <w:tc>
          <w:tcPr>
            <w:tcW w:w="1263"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公务接待费</w:t>
            </w:r>
          </w:p>
        </w:tc>
        <w:tc>
          <w:tcPr>
            <w:tcW w:w="991"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合计</w:t>
            </w:r>
          </w:p>
        </w:tc>
        <w:tc>
          <w:tcPr>
            <w:tcW w:w="1009"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因公出国（境）费</w:t>
            </w:r>
          </w:p>
        </w:tc>
        <w:tc>
          <w:tcPr>
            <w:tcW w:w="2973" w:type="dxa"/>
            <w:gridSpan w:val="3"/>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公务用车购置及运行费</w:t>
            </w:r>
          </w:p>
        </w:tc>
        <w:tc>
          <w:tcPr>
            <w:tcW w:w="1647"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2" w:hRule="atLeast"/>
        </w:trPr>
        <w:tc>
          <w:tcPr>
            <w:tcW w:w="991" w:type="dxa"/>
            <w:vMerge w:val="continue"/>
            <w:tcBorders>
              <w:top w:val="nil"/>
              <w:left w:val="single" w:color="000000" w:sz="4" w:space="0"/>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1009" w:type="dxa"/>
            <w:vMerge w:val="continue"/>
            <w:tcBorders>
              <w:top w:val="nil"/>
              <w:left w:val="nil"/>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小计</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公务用车购置费</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公务用车运行费</w:t>
            </w:r>
          </w:p>
        </w:tc>
        <w:tc>
          <w:tcPr>
            <w:tcW w:w="1263" w:type="dxa"/>
            <w:vMerge w:val="continue"/>
            <w:tcBorders>
              <w:top w:val="nil"/>
              <w:left w:val="nil"/>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991" w:type="dxa"/>
            <w:vMerge w:val="continue"/>
            <w:tcBorders>
              <w:top w:val="nil"/>
              <w:left w:val="nil"/>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1009" w:type="dxa"/>
            <w:vMerge w:val="continue"/>
            <w:tcBorders>
              <w:top w:val="nil"/>
              <w:left w:val="nil"/>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小计</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公务用车购置费</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公务用车运行费</w:t>
            </w:r>
          </w:p>
        </w:tc>
        <w:tc>
          <w:tcPr>
            <w:tcW w:w="1647"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991" w:type="dxa"/>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1009"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w:t>
            </w:r>
          </w:p>
        </w:tc>
        <w:tc>
          <w:tcPr>
            <w:tcW w:w="1263"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6</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7</w:t>
            </w:r>
          </w:p>
        </w:tc>
        <w:tc>
          <w:tcPr>
            <w:tcW w:w="1009"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8</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9</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10</w:t>
            </w:r>
          </w:p>
        </w:tc>
        <w:tc>
          <w:tcPr>
            <w:tcW w:w="991"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11</w:t>
            </w:r>
          </w:p>
        </w:tc>
        <w:tc>
          <w:tcPr>
            <w:tcW w:w="1647" w:type="dxa"/>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rPr>
        <w:tc>
          <w:tcPr>
            <w:tcW w:w="991" w:type="dxa"/>
            <w:tcBorders>
              <w:top w:val="nil"/>
              <w:left w:val="single" w:color="000000" w:sz="4" w:space="0"/>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009"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263"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009"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991"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647"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trPr>
        <w:tc>
          <w:tcPr>
            <w:tcW w:w="12856" w:type="dxa"/>
            <w:gridSpan w:val="12"/>
            <w:tcBorders>
              <w:top w:val="nil"/>
              <w:left w:val="nil"/>
              <w:bottom w:val="nil"/>
              <w:right w:val="nil"/>
              <w:tl2br w:val="nil"/>
              <w:tr2bl w:val="nil"/>
            </w:tcBorders>
            <w:noWrap w:val="0"/>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注：本表反映部门本年度“三公”经费支出预决算情况。其中：预算数为“三公”经费年初预算数，决算数是包括当年一般公共预算财政拨款和以前年度结转资金安排的实际支出。本表金额转换为万元时，因四舍五入可能存在尾差。</w:t>
            </w:r>
          </w:p>
        </w:tc>
      </w:tr>
    </w:tbl>
    <w:p>
      <w:pPr>
        <w:autoSpaceDE w:val="0"/>
        <w:autoSpaceDN w:val="0"/>
        <w:adjustRightInd w:val="0"/>
        <w:spacing w:beforeLines="0" w:afterLines="0"/>
        <w:jc w:val="left"/>
        <w:rPr>
          <w:rFonts w:hint="default" w:ascii="宋体"/>
          <w:kern w:val="0"/>
          <w:sz w:val="38"/>
          <w:szCs w:val="24"/>
          <w:lang w:val="zh-CN"/>
        </w:rPr>
      </w:pPr>
      <w:r>
        <w:rPr>
          <w:rFonts w:hint="default" w:ascii="宋体"/>
          <w:kern w:val="0"/>
          <w:sz w:val="38"/>
          <w:szCs w:val="24"/>
          <w:lang w:val="zh-CN"/>
        </w:rPr>
        <w:br w:type="page"/>
      </w:r>
    </w:p>
    <w:tbl>
      <w:tblPr>
        <w:tblStyle w:val="4"/>
        <w:tblW w:w="13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0"/>
        <w:gridCol w:w="340"/>
        <w:gridCol w:w="340"/>
        <w:gridCol w:w="2420"/>
        <w:gridCol w:w="1680"/>
        <w:gridCol w:w="1680"/>
        <w:gridCol w:w="1680"/>
        <w:gridCol w:w="1680"/>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520" w:type="dxa"/>
            <w:gridSpan w:val="10"/>
            <w:tcBorders>
              <w:top w:val="nil"/>
              <w:left w:val="nil"/>
              <w:bottom w:val="nil"/>
              <w:right w:val="nil"/>
              <w:tl2br w:val="nil"/>
              <w:tr2bl w:val="nil"/>
            </w:tcBorders>
            <w:noWrap/>
            <w:vAlign w:val="bottom"/>
          </w:tcPr>
          <w:p>
            <w:pPr>
              <w:widowControl/>
              <w:spacing w:beforeLines="0" w:afterLines="0"/>
              <w:jc w:val="center"/>
              <w:rPr>
                <w:rFonts w:hint="default" w:ascii="Arial" w:cs="Arial"/>
                <w:color w:val="000000"/>
                <w:kern w:val="0"/>
                <w:sz w:val="20"/>
                <w:szCs w:val="24"/>
              </w:rPr>
            </w:pPr>
            <w:r>
              <w:rPr>
                <w:rFonts w:hint="eastAsia" w:ascii="宋体" w:hAnsi="宋体" w:cs="宋体"/>
                <w:color w:val="000000"/>
                <w:kern w:val="0"/>
                <w:sz w:val="30"/>
                <w:szCs w:val="24"/>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34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242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40" w:type="dxa"/>
            <w:gridSpan w:val="4"/>
            <w:tcBorders>
              <w:top w:val="nil"/>
              <w:left w:val="nil"/>
              <w:bottom w:val="nil"/>
              <w:right w:val="nil"/>
              <w:tl2br w:val="nil"/>
              <w:tr2bl w:val="nil"/>
            </w:tcBorders>
            <w:noWrap/>
            <w:vAlign w:val="bottom"/>
          </w:tcPr>
          <w:p>
            <w:pPr>
              <w:widowControl/>
              <w:spacing w:beforeLines="0" w:afterLines="0"/>
              <w:jc w:val="left"/>
              <w:rPr>
                <w:rFonts w:hint="eastAsia" w:cs="宋体"/>
                <w:color w:val="000000"/>
                <w:kern w:val="0"/>
                <w:sz w:val="20"/>
                <w:szCs w:val="24"/>
              </w:rPr>
            </w:pPr>
            <w:r>
              <w:rPr>
                <w:rFonts w:hint="eastAsia" w:ascii="宋体" w:hAnsi="宋体" w:cs="宋体"/>
                <w:color w:val="000000"/>
                <w:kern w:val="0"/>
                <w:sz w:val="20"/>
                <w:szCs w:val="24"/>
              </w:rPr>
              <w:t>部门：延津县安全生产监督管理局</w:t>
            </w: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left"/>
              <w:rPr>
                <w:rFonts w:hint="default" w:ascii="Arial" w:cs="Arial"/>
                <w:color w:val="000000"/>
                <w:kern w:val="0"/>
                <w:sz w:val="20"/>
                <w:szCs w:val="24"/>
              </w:rPr>
            </w:pPr>
          </w:p>
        </w:tc>
        <w:tc>
          <w:tcPr>
            <w:tcW w:w="1680" w:type="dxa"/>
            <w:tcBorders>
              <w:top w:val="nil"/>
              <w:left w:val="nil"/>
              <w:bottom w:val="nil"/>
              <w:right w:val="nil"/>
              <w:tl2br w:val="nil"/>
              <w:tr2bl w:val="nil"/>
            </w:tcBorders>
            <w:noWrap/>
            <w:vAlign w:val="bottom"/>
          </w:tcPr>
          <w:p>
            <w:pPr>
              <w:widowControl/>
              <w:spacing w:beforeLines="0" w:afterLines="0"/>
              <w:jc w:val="right"/>
              <w:rPr>
                <w:rFonts w:hint="eastAsia" w:cs="宋体"/>
                <w:color w:val="000000"/>
                <w:kern w:val="0"/>
                <w:sz w:val="20"/>
                <w:szCs w:val="24"/>
              </w:rPr>
            </w:pPr>
            <w:r>
              <w:rPr>
                <w:rFonts w:hint="eastAsia" w:ascii="宋体" w:hAnsi="宋体" w:cs="宋体"/>
                <w:color w:val="000000"/>
                <w:kern w:val="0"/>
                <w:sz w:val="20"/>
                <w:szCs w:val="24"/>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0" w:type="dxa"/>
            <w:gridSpan w:val="4"/>
            <w:tcBorders>
              <w:top w:val="single" w:color="000000" w:sz="4" w:space="0"/>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w:t>
            </w:r>
          </w:p>
        </w:tc>
        <w:tc>
          <w:tcPr>
            <w:tcW w:w="16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年初结转和结余</w:t>
            </w:r>
          </w:p>
        </w:tc>
        <w:tc>
          <w:tcPr>
            <w:tcW w:w="16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本年收入</w:t>
            </w:r>
          </w:p>
        </w:tc>
        <w:tc>
          <w:tcPr>
            <w:tcW w:w="5040" w:type="dxa"/>
            <w:gridSpan w:val="3"/>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本年支出</w:t>
            </w:r>
          </w:p>
        </w:tc>
        <w:tc>
          <w:tcPr>
            <w:tcW w:w="1680" w:type="dxa"/>
            <w:vMerge w:val="restart"/>
            <w:tcBorders>
              <w:top w:val="single" w:color="000000" w:sz="4" w:space="0"/>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restart"/>
            <w:tcBorders>
              <w:top w:val="nil"/>
              <w:left w:val="single" w:color="000000" w:sz="4" w:space="0"/>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功能分类科目编码</w:t>
            </w:r>
          </w:p>
        </w:tc>
        <w:tc>
          <w:tcPr>
            <w:tcW w:w="2420" w:type="dxa"/>
            <w:vMerge w:val="restart"/>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科目名称</w:t>
            </w:r>
          </w:p>
        </w:tc>
        <w:tc>
          <w:tcPr>
            <w:tcW w:w="1680" w:type="dxa"/>
            <w:vMerge w:val="continue"/>
            <w:tcBorders>
              <w:top w:val="single" w:color="000000" w:sz="4" w:space="0"/>
              <w:left w:val="nil"/>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shd w:val="clear" w:color="auto" w:fill="auto"/>
            <w:noWrap w:val="0"/>
            <w:vAlign w:val="center"/>
          </w:tcPr>
          <w:p>
            <w:pPr>
              <w:widowControl/>
              <w:spacing w:beforeLines="0" w:afterLines="0"/>
              <w:jc w:val="left"/>
              <w:rPr>
                <w:rFonts w:hint="eastAsia" w:cs="宋体"/>
                <w:color w:val="000000"/>
                <w:kern w:val="0"/>
                <w:sz w:val="22"/>
                <w:szCs w:val="24"/>
              </w:rPr>
            </w:pPr>
          </w:p>
        </w:tc>
        <w:tc>
          <w:tcPr>
            <w:tcW w:w="168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小计</w:t>
            </w:r>
          </w:p>
        </w:tc>
        <w:tc>
          <w:tcPr>
            <w:tcW w:w="168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基本支出</w:t>
            </w:r>
          </w:p>
        </w:tc>
        <w:tc>
          <w:tcPr>
            <w:tcW w:w="1680" w:type="dxa"/>
            <w:vMerge w:val="restart"/>
            <w:tcBorders>
              <w:top w:val="nil"/>
              <w:left w:val="nil"/>
              <w:bottom w:val="single" w:color="000000" w:sz="4" w:space="0"/>
              <w:right w:val="single" w:color="000000" w:sz="4" w:space="0"/>
              <w:tl2br w:val="nil"/>
              <w:tr2bl w:val="nil"/>
            </w:tcBorders>
            <w:shd w:val="clear" w:color="FFFFFF" w:fill="C0C0C0"/>
            <w:noWrap w:val="0"/>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项目支出</w:t>
            </w: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42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vMerge w:val="continue"/>
            <w:tcBorders>
              <w:top w:val="nil"/>
              <w:left w:val="single" w:color="000000" w:sz="4" w:space="0"/>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242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nil"/>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c>
          <w:tcPr>
            <w:tcW w:w="1680" w:type="dxa"/>
            <w:vMerge w:val="continue"/>
            <w:tcBorders>
              <w:top w:val="single" w:color="000000" w:sz="4" w:space="0"/>
              <w:left w:val="nil"/>
              <w:bottom w:val="single" w:color="000000" w:sz="4" w:space="0"/>
              <w:right w:val="single" w:color="000000" w:sz="4" w:space="0"/>
              <w:tl2br w:val="nil"/>
              <w:tr2bl w:val="nil"/>
            </w:tcBorders>
            <w:noWrap w:val="0"/>
            <w:vAlign w:val="center"/>
          </w:tcPr>
          <w:p>
            <w:pPr>
              <w:widowControl/>
              <w:spacing w:beforeLines="0" w:afterLines="0"/>
              <w:jc w:val="left"/>
              <w:rPr>
                <w:rFonts w:hint="eastAsia" w:cs="宋体"/>
                <w:color w:val="000000"/>
                <w:kern w:val="0"/>
                <w:sz w:val="22"/>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栏次</w:t>
            </w:r>
          </w:p>
        </w:tc>
        <w:tc>
          <w:tcPr>
            <w:tcW w:w="16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1</w:t>
            </w:r>
          </w:p>
        </w:tc>
        <w:tc>
          <w:tcPr>
            <w:tcW w:w="16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2</w:t>
            </w:r>
          </w:p>
        </w:tc>
        <w:tc>
          <w:tcPr>
            <w:tcW w:w="16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3</w:t>
            </w:r>
          </w:p>
        </w:tc>
        <w:tc>
          <w:tcPr>
            <w:tcW w:w="16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4</w:t>
            </w:r>
          </w:p>
        </w:tc>
        <w:tc>
          <w:tcPr>
            <w:tcW w:w="16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5</w:t>
            </w:r>
          </w:p>
        </w:tc>
        <w:tc>
          <w:tcPr>
            <w:tcW w:w="1680" w:type="dxa"/>
            <w:tcBorders>
              <w:top w:val="nil"/>
              <w:left w:val="nil"/>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ascii="宋体" w:hAnsi="宋体" w:cs="宋体"/>
                <w:color w:val="000000"/>
                <w:kern w:val="0"/>
                <w:sz w:val="22"/>
                <w:szCs w:val="24"/>
              </w:rPr>
            </w:pPr>
            <w:r>
              <w:rPr>
                <w:rFonts w:hint="eastAsia" w:ascii="宋体" w:hAnsi="宋体" w:cs="宋体"/>
                <w:color w:val="000000"/>
                <w:kern w:val="0"/>
                <w:sz w:val="22"/>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40" w:type="dxa"/>
            <w:gridSpan w:val="4"/>
            <w:tcBorders>
              <w:top w:val="nil"/>
              <w:left w:val="single" w:color="000000" w:sz="4" w:space="0"/>
              <w:bottom w:val="single" w:color="000000" w:sz="4" w:space="0"/>
              <w:right w:val="single" w:color="000000" w:sz="4" w:space="0"/>
              <w:tl2br w:val="nil"/>
              <w:tr2bl w:val="nil"/>
            </w:tcBorders>
            <w:shd w:val="clear" w:color="FFFFFF" w:fill="C0C0C0"/>
            <w:noWrap/>
            <w:vAlign w:val="center"/>
          </w:tcPr>
          <w:p>
            <w:pPr>
              <w:widowControl/>
              <w:spacing w:beforeLines="0" w:afterLines="0"/>
              <w:jc w:val="center"/>
              <w:rPr>
                <w:rFonts w:hint="eastAsia" w:cs="宋体"/>
                <w:color w:val="000000"/>
                <w:kern w:val="0"/>
                <w:sz w:val="22"/>
                <w:szCs w:val="24"/>
              </w:rPr>
            </w:pPr>
            <w:r>
              <w:rPr>
                <w:rFonts w:hint="eastAsia" w:ascii="宋体" w:hAnsi="宋体" w:cs="宋体"/>
                <w:color w:val="000000"/>
                <w:kern w:val="0"/>
                <w:sz w:val="22"/>
                <w:szCs w:val="24"/>
              </w:rPr>
              <w:t>合计</w:t>
            </w:r>
          </w:p>
        </w:tc>
        <w:tc>
          <w:tcPr>
            <w:tcW w:w="1680"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680"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680"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680"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680"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c>
          <w:tcPr>
            <w:tcW w:w="1680" w:type="dxa"/>
            <w:tcBorders>
              <w:top w:val="nil"/>
              <w:left w:val="nil"/>
              <w:bottom w:val="single" w:color="000000" w:sz="4" w:space="0"/>
              <w:right w:val="single" w:color="000000" w:sz="4" w:space="0"/>
              <w:tl2br w:val="nil"/>
              <w:tr2bl w:val="nil"/>
            </w:tcBorders>
            <w:noWrap/>
            <w:vAlign w:val="top"/>
          </w:tcPr>
          <w:p>
            <w:pPr>
              <w:spacing w:beforeLines="0" w:afterLines="0"/>
              <w:rPr>
                <w:rFonts w:hint="default" w:eastAsia="Times New Roman"/>
                <w:sz w:val="21"/>
                <w:szCs w:val="24"/>
              </w:rPr>
            </w:pPr>
            <w:r>
              <w:rPr>
                <w:rFonts w:hint="default"/>
                <w:color w:val="000000"/>
                <w:kern w:val="0"/>
                <w:sz w:val="18"/>
                <w:szCs w:val="24"/>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242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242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242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242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242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0" w:type="dxa"/>
            <w:gridSpan w:val="3"/>
            <w:tcBorders>
              <w:top w:val="nil"/>
              <w:left w:val="single" w:color="000000" w:sz="4" w:space="0"/>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2420" w:type="dxa"/>
            <w:tcBorders>
              <w:top w:val="nil"/>
              <w:left w:val="nil"/>
              <w:bottom w:val="single" w:color="000000" w:sz="4" w:space="0"/>
              <w:right w:val="single" w:color="000000" w:sz="4" w:space="0"/>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c>
          <w:tcPr>
            <w:tcW w:w="1680" w:type="dxa"/>
            <w:tcBorders>
              <w:top w:val="nil"/>
              <w:left w:val="nil"/>
              <w:bottom w:val="single" w:color="000000" w:sz="4" w:space="0"/>
              <w:right w:val="single" w:color="000000" w:sz="4" w:space="0"/>
              <w:tl2br w:val="nil"/>
              <w:tr2bl w:val="nil"/>
            </w:tcBorders>
            <w:noWrap/>
            <w:vAlign w:val="center"/>
          </w:tcPr>
          <w:p>
            <w:pPr>
              <w:widowControl/>
              <w:spacing w:beforeLines="0" w:afterLines="0"/>
              <w:jc w:val="right"/>
              <w:rPr>
                <w:rFonts w:hint="eastAsia" w:cs="宋体"/>
                <w:color w:val="000000"/>
                <w:kern w:val="0"/>
                <w:sz w:val="22"/>
                <w:szCs w:val="24"/>
              </w:rPr>
            </w:pPr>
            <w:r>
              <w:rPr>
                <w:rFonts w:hint="eastAsia" w:ascii="宋体" w:hAnsi="宋体" w:cs="宋体"/>
                <w:color w:val="000000"/>
                <w:kern w:val="0"/>
                <w:sz w:val="22"/>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520" w:type="dxa"/>
            <w:gridSpan w:val="10"/>
            <w:tcBorders>
              <w:top w:val="nil"/>
              <w:left w:val="nil"/>
              <w:bottom w:val="nil"/>
              <w:right w:val="nil"/>
              <w:tl2br w:val="nil"/>
              <w:tr2bl w:val="nil"/>
            </w:tcBorders>
            <w:noWrap/>
            <w:vAlign w:val="center"/>
          </w:tcPr>
          <w:p>
            <w:pPr>
              <w:widowControl/>
              <w:spacing w:beforeLines="0" w:afterLines="0"/>
              <w:jc w:val="left"/>
              <w:rPr>
                <w:rFonts w:hint="eastAsia" w:cs="宋体"/>
                <w:color w:val="000000"/>
                <w:kern w:val="0"/>
                <w:sz w:val="22"/>
                <w:szCs w:val="24"/>
              </w:rPr>
            </w:pPr>
            <w:r>
              <w:rPr>
                <w:rFonts w:hint="eastAsia" w:ascii="宋体" w:hAnsi="宋体" w:cs="宋体"/>
                <w:color w:val="000000"/>
                <w:kern w:val="0"/>
                <w:sz w:val="22"/>
                <w:szCs w:val="24"/>
              </w:rPr>
              <w:t>注：本表反映部门本年度政府性基金预算财政拨款收入、支出及结转和结余情况。本表金额转换为万元时，因四舍五入可能存在尾差。</w:t>
            </w:r>
          </w:p>
        </w:tc>
      </w:tr>
    </w:tbl>
    <w:p>
      <w:pPr>
        <w:spacing w:beforeLines="0" w:afterLines="0"/>
        <w:jc w:val="left"/>
        <w:rPr>
          <w:rFonts w:hint="default" w:ascii="黑体" w:hAnsi="宋体" w:eastAsia="黑体" w:cs="宋体"/>
          <w:kern w:val="0"/>
          <w:sz w:val="28"/>
          <w:szCs w:val="28"/>
        </w:rPr>
      </w:pPr>
      <w:r>
        <w:rPr>
          <w:rFonts w:hint="eastAsia" w:ascii="黑体" w:hAnsi="黑体" w:eastAsia="黑体" w:cs="黑体"/>
          <w:sz w:val="28"/>
          <w:szCs w:val="28"/>
        </w:rPr>
        <w:t>说</w:t>
      </w:r>
      <w:r>
        <w:rPr>
          <w:rFonts w:hint="eastAsia" w:ascii="黑体" w:hAnsi="宋体" w:eastAsia="黑体" w:cs="宋体"/>
          <w:kern w:val="0"/>
          <w:sz w:val="28"/>
          <w:szCs w:val="28"/>
        </w:rPr>
        <w:t>明：我部门没有政府性基金收入，也没有使用政府性基金安排的支出，故本表无数据。</w:t>
      </w:r>
    </w:p>
    <w:p>
      <w:pPr>
        <w:autoSpaceDE w:val="0"/>
        <w:autoSpaceDN w:val="0"/>
        <w:adjustRightInd w:val="0"/>
        <w:spacing w:beforeLines="0" w:afterLines="0"/>
        <w:jc w:val="left"/>
        <w:rPr>
          <w:rFonts w:hint="default" w:ascii="宋体"/>
          <w:kern w:val="0"/>
          <w:sz w:val="38"/>
          <w:szCs w:val="24"/>
          <w:lang w:val="zh-CN"/>
        </w:rPr>
        <w:sectPr>
          <w:pgSz w:w="15840" w:h="12240" w:orient="landscape"/>
          <w:pgMar w:top="567" w:right="1440" w:bottom="567" w:left="1440" w:header="720" w:footer="720" w:gutter="0"/>
          <w:cols w:space="720" w:num="1"/>
          <w:docGrid w:linePitch="286" w:charSpace="0"/>
        </w:sectPr>
      </w:pPr>
    </w:p>
    <w:p>
      <w:pPr>
        <w:autoSpaceDE w:val="0"/>
        <w:autoSpaceDN w:val="0"/>
        <w:adjustRightInd w:val="0"/>
        <w:spacing w:beforeLines="0" w:afterLines="0"/>
        <w:jc w:val="left"/>
        <w:rPr>
          <w:rFonts w:hint="default" w:ascii="宋体"/>
          <w:kern w:val="0"/>
          <w:sz w:val="38"/>
          <w:szCs w:val="24"/>
          <w:lang w:val="zh-CN"/>
        </w:rPr>
      </w:pPr>
    </w:p>
    <w:p>
      <w:pPr>
        <w:autoSpaceDE w:val="0"/>
        <w:autoSpaceDN w:val="0"/>
        <w:adjustRightInd w:val="0"/>
        <w:spacing w:beforeLines="0" w:afterLines="0"/>
        <w:jc w:val="left"/>
        <w:rPr>
          <w:rFonts w:hint="default" w:ascii="宋体"/>
          <w:kern w:val="0"/>
          <w:sz w:val="38"/>
          <w:szCs w:val="24"/>
          <w:lang w:val="zh-CN"/>
        </w:rPr>
      </w:pPr>
    </w:p>
    <w:p>
      <w:pPr>
        <w:autoSpaceDE w:val="0"/>
        <w:autoSpaceDN w:val="0"/>
        <w:adjustRightInd w:val="0"/>
        <w:spacing w:beforeLines="0" w:afterLines="0"/>
        <w:jc w:val="left"/>
        <w:rPr>
          <w:rFonts w:hint="default" w:ascii="宋体"/>
          <w:kern w:val="0"/>
          <w:sz w:val="38"/>
          <w:szCs w:val="24"/>
          <w:lang w:val="zh-CN"/>
        </w:rPr>
      </w:pPr>
    </w:p>
    <w:p>
      <w:pPr>
        <w:autoSpaceDE w:val="0"/>
        <w:autoSpaceDN w:val="0"/>
        <w:adjustRightInd w:val="0"/>
        <w:spacing w:beforeLines="0" w:afterLines="0"/>
        <w:jc w:val="left"/>
        <w:rPr>
          <w:rFonts w:hint="default" w:ascii="宋体"/>
          <w:kern w:val="0"/>
          <w:sz w:val="38"/>
          <w:szCs w:val="24"/>
          <w:lang w:val="zh-CN"/>
        </w:rPr>
      </w:pPr>
    </w:p>
    <w:p>
      <w:pPr>
        <w:spacing w:beforeLines="0" w:afterLines="0"/>
        <w:jc w:val="left"/>
        <w:rPr>
          <w:rFonts w:hint="default" w:ascii="黑体" w:hAnsi="黑体" w:eastAsia="黑体"/>
          <w:sz w:val="32"/>
          <w:szCs w:val="24"/>
        </w:rPr>
      </w:pPr>
    </w:p>
    <w:p>
      <w:pPr>
        <w:spacing w:beforeLines="0" w:afterLines="0"/>
        <w:jc w:val="center"/>
        <w:rPr>
          <w:rFonts w:hint="default" w:ascii="黑体" w:hAnsi="黑体" w:eastAsia="黑体"/>
          <w:sz w:val="48"/>
          <w:szCs w:val="24"/>
        </w:rPr>
      </w:pPr>
      <w:r>
        <w:rPr>
          <w:rFonts w:hint="eastAsia" w:ascii="黑体" w:hAnsi="黑体" w:eastAsia="黑体"/>
          <w:sz w:val="48"/>
          <w:szCs w:val="24"/>
        </w:rPr>
        <w:t>第三部分</w:t>
      </w:r>
    </w:p>
    <w:p>
      <w:pPr>
        <w:widowControl/>
        <w:spacing w:beforeLines="0" w:afterLines="0"/>
        <w:jc w:val="center"/>
        <w:rPr>
          <w:rFonts w:hint="default" w:ascii="黑体" w:hAnsi="黑体" w:eastAsia="黑体"/>
          <w:sz w:val="48"/>
          <w:szCs w:val="24"/>
        </w:rPr>
      </w:pPr>
      <w:r>
        <w:rPr>
          <w:rFonts w:hint="eastAsia" w:ascii="黑体" w:hAnsi="黑体" w:eastAsia="黑体"/>
          <w:sz w:val="48"/>
          <w:szCs w:val="24"/>
        </w:rPr>
        <w:t>2018年度部门决算情况说明</w:t>
      </w:r>
    </w:p>
    <w:p>
      <w:pPr>
        <w:widowControl/>
        <w:spacing w:beforeLines="0" w:afterLines="0"/>
        <w:jc w:val="left"/>
        <w:rPr>
          <w:rFonts w:hint="default" w:ascii="黑体" w:hAnsi="黑体" w:eastAsia="黑体"/>
          <w:sz w:val="48"/>
          <w:szCs w:val="24"/>
        </w:rPr>
        <w:sectPr>
          <w:pgSz w:w="11906" w:h="16838"/>
          <w:pgMar w:top="1440" w:right="1800" w:bottom="1440" w:left="1800" w:header="720" w:footer="720" w:gutter="0"/>
          <w:pgNumType w:fmt="numberInDash"/>
          <w:cols w:space="720" w:num="1"/>
          <w:docGrid w:type="lines" w:linePitch="312" w:charSpace="0"/>
        </w:sectPr>
      </w:pP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一、收入支出决算总体情况说明</w:t>
      </w:r>
    </w:p>
    <w:p>
      <w:pPr>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2018年度收、支总计均为272.92万元。与上年度相比，收、支总计各增加19万元，增长7.49%。主要原因是2018年度人员经费收支同比均有所增加及年初结转和结余。</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二、收入决算情况说明</w:t>
      </w:r>
    </w:p>
    <w:p>
      <w:pPr>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2018年度收入合计241万元，其中：财政拨款收入241万元，占100%；上级补助收入</w:t>
      </w:r>
      <w:r>
        <w:rPr>
          <w:rFonts w:hint="default" w:ascii="仿宋" w:hAnsi="仿宋" w:eastAsia="仿宋"/>
          <w:sz w:val="32"/>
          <w:szCs w:val="24"/>
          <w:lang w:val="zh-CN"/>
        </w:rPr>
        <w:t>0</w:t>
      </w:r>
      <w:r>
        <w:rPr>
          <w:rFonts w:hint="eastAsia" w:ascii="仿宋" w:hAnsi="仿宋" w:eastAsia="仿宋"/>
          <w:sz w:val="32"/>
          <w:szCs w:val="24"/>
          <w:lang w:val="zh-CN"/>
        </w:rPr>
        <w:t>万元，占0%；事业收入</w:t>
      </w:r>
      <w:r>
        <w:rPr>
          <w:rFonts w:hint="default" w:ascii="仿宋" w:hAnsi="仿宋" w:eastAsia="仿宋"/>
          <w:sz w:val="32"/>
          <w:szCs w:val="24"/>
          <w:lang w:val="zh-CN"/>
        </w:rPr>
        <w:t>0</w:t>
      </w:r>
      <w:r>
        <w:rPr>
          <w:rFonts w:hint="eastAsia" w:ascii="仿宋" w:hAnsi="仿宋" w:eastAsia="仿宋"/>
          <w:sz w:val="32"/>
          <w:szCs w:val="24"/>
          <w:lang w:val="zh-CN"/>
        </w:rPr>
        <w:t>万元，占0%；经营收入</w:t>
      </w:r>
      <w:r>
        <w:rPr>
          <w:rFonts w:hint="default" w:ascii="仿宋" w:hAnsi="仿宋" w:eastAsia="仿宋"/>
          <w:sz w:val="32"/>
          <w:szCs w:val="24"/>
          <w:lang w:val="zh-CN"/>
        </w:rPr>
        <w:t>0</w:t>
      </w:r>
      <w:r>
        <w:rPr>
          <w:rFonts w:hint="eastAsia" w:ascii="仿宋" w:hAnsi="仿宋" w:eastAsia="仿宋"/>
          <w:sz w:val="32"/>
          <w:szCs w:val="24"/>
          <w:lang w:val="zh-CN"/>
        </w:rPr>
        <w:t>万元，占0%；附属单位上缴收入</w:t>
      </w:r>
      <w:r>
        <w:rPr>
          <w:rFonts w:hint="default" w:ascii="仿宋" w:hAnsi="仿宋" w:eastAsia="仿宋"/>
          <w:sz w:val="32"/>
          <w:szCs w:val="24"/>
          <w:lang w:val="zh-CN"/>
        </w:rPr>
        <w:t>0</w:t>
      </w:r>
      <w:r>
        <w:rPr>
          <w:rFonts w:hint="eastAsia" w:ascii="仿宋" w:hAnsi="仿宋" w:eastAsia="仿宋"/>
          <w:sz w:val="32"/>
          <w:szCs w:val="24"/>
          <w:lang w:val="zh-CN"/>
        </w:rPr>
        <w:t>万元，占0%；其他收入</w:t>
      </w:r>
      <w:r>
        <w:rPr>
          <w:rFonts w:hint="default" w:ascii="仿宋" w:hAnsi="仿宋" w:eastAsia="仿宋"/>
          <w:sz w:val="32"/>
          <w:szCs w:val="24"/>
          <w:lang w:val="zh-CN"/>
        </w:rPr>
        <w:t>0</w:t>
      </w:r>
      <w:r>
        <w:rPr>
          <w:rFonts w:hint="eastAsia" w:ascii="仿宋" w:hAnsi="仿宋" w:eastAsia="仿宋"/>
          <w:sz w:val="32"/>
          <w:szCs w:val="24"/>
          <w:lang w:val="zh-CN"/>
        </w:rPr>
        <w:t>万元，占0%。</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三、支出决算情况说明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2018年度支出合计244.65万元，其中：基本支出244.65万元，占100%；项目支出</w:t>
      </w:r>
      <w:r>
        <w:rPr>
          <w:rFonts w:hint="default" w:ascii="仿宋" w:hAnsi="仿宋" w:eastAsia="仿宋"/>
          <w:sz w:val="32"/>
          <w:szCs w:val="24"/>
          <w:lang w:val="zh-CN"/>
        </w:rPr>
        <w:t>0</w:t>
      </w:r>
      <w:r>
        <w:rPr>
          <w:rFonts w:hint="eastAsia" w:ascii="仿宋" w:hAnsi="仿宋" w:eastAsia="仿宋"/>
          <w:sz w:val="32"/>
          <w:szCs w:val="24"/>
          <w:lang w:val="zh-CN"/>
        </w:rPr>
        <w:t>万元，占0%；上缴上级支出</w:t>
      </w:r>
      <w:r>
        <w:rPr>
          <w:rFonts w:hint="default" w:ascii="仿宋" w:hAnsi="仿宋" w:eastAsia="仿宋"/>
          <w:sz w:val="32"/>
          <w:szCs w:val="24"/>
          <w:lang w:val="zh-CN"/>
        </w:rPr>
        <w:t>0</w:t>
      </w:r>
      <w:r>
        <w:rPr>
          <w:rFonts w:hint="eastAsia" w:ascii="仿宋" w:hAnsi="仿宋" w:eastAsia="仿宋"/>
          <w:sz w:val="32"/>
          <w:szCs w:val="24"/>
          <w:lang w:val="zh-CN"/>
        </w:rPr>
        <w:t>万元，占0%；经营支出</w:t>
      </w:r>
      <w:r>
        <w:rPr>
          <w:rFonts w:hint="default" w:ascii="仿宋" w:hAnsi="仿宋" w:eastAsia="仿宋"/>
          <w:sz w:val="32"/>
          <w:szCs w:val="24"/>
          <w:lang w:val="zh-CN"/>
        </w:rPr>
        <w:t>0</w:t>
      </w:r>
      <w:r>
        <w:rPr>
          <w:rFonts w:hint="eastAsia" w:ascii="仿宋" w:hAnsi="仿宋" w:eastAsia="仿宋"/>
          <w:sz w:val="32"/>
          <w:szCs w:val="24"/>
          <w:lang w:val="zh-CN"/>
        </w:rPr>
        <w:t>万元，占0%；对附属单位补助支出</w:t>
      </w:r>
      <w:r>
        <w:rPr>
          <w:rFonts w:hint="default" w:ascii="仿宋" w:hAnsi="仿宋" w:eastAsia="仿宋"/>
          <w:sz w:val="32"/>
          <w:szCs w:val="24"/>
          <w:lang w:val="zh-CN"/>
        </w:rPr>
        <w:t>0</w:t>
      </w:r>
      <w:r>
        <w:rPr>
          <w:rFonts w:hint="eastAsia" w:ascii="仿宋" w:hAnsi="仿宋" w:eastAsia="仿宋"/>
          <w:sz w:val="32"/>
          <w:szCs w:val="24"/>
          <w:lang w:val="zh-CN"/>
        </w:rPr>
        <w:t>万元，占0%。</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四、财政拨款收入支出决算总体情况说明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2018年度财政拨款收、支总计均为272.92万元。与上年度相比，财政拨款收、支总计各增加19.01万元，增长7.49%。主要原因是用上年结转结余资金支出。</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五、一般公共预算财政拨款支出决算情况说明</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（一）总体情况。</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2018年度一般公共预算财政拨款支出244.65万元，占本年支出合计的100%。与上年度相比，一般公共预算财政拨款支出增加22.27万元，增长10.017015%。主要原因是用上年结转结余资金支出。</w:t>
      </w:r>
    </w:p>
    <w:p>
      <w:pPr>
        <w:autoSpaceDE w:val="0"/>
        <w:autoSpaceDN w:val="0"/>
        <w:adjustRightInd w:val="0"/>
        <w:spacing w:beforeLines="0" w:afterLines="0"/>
        <w:ind w:firstLine="320" w:firstLineChars="100"/>
        <w:jc w:val="left"/>
        <w:rPr>
          <w:rFonts w:hint="default" w:ascii="宋体"/>
          <w:kern w:val="0"/>
          <w:sz w:val="32"/>
          <w:szCs w:val="24"/>
          <w:lang w:val="zh-CN"/>
        </w:rPr>
      </w:pPr>
      <w:r>
        <w:rPr>
          <w:rFonts w:hint="eastAsia" w:ascii="宋体" w:hAnsi="宋体" w:cs="宋体"/>
          <w:kern w:val="0"/>
          <w:sz w:val="32"/>
          <w:szCs w:val="24"/>
          <w:lang w:val="zh-CN"/>
        </w:rPr>
        <w:t>（二）结构情况。</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2018年度一般公共预算财政拨款支出244.65万元，主要用于以下方面：一般公共服务（类）支出</w:t>
      </w:r>
      <w:r>
        <w:rPr>
          <w:rFonts w:hint="default" w:ascii="仿宋" w:hAnsi="仿宋" w:eastAsia="仿宋"/>
          <w:sz w:val="32"/>
          <w:szCs w:val="24"/>
          <w:lang w:val="zh-CN"/>
        </w:rPr>
        <w:t>0</w:t>
      </w:r>
      <w:r>
        <w:rPr>
          <w:rFonts w:hint="eastAsia" w:ascii="仿宋" w:hAnsi="仿宋" w:eastAsia="仿宋"/>
          <w:sz w:val="32"/>
          <w:szCs w:val="24"/>
          <w:lang w:val="zh-CN"/>
        </w:rPr>
        <w:t>万元，占0%；外交（类）支出</w:t>
      </w:r>
      <w:r>
        <w:rPr>
          <w:rFonts w:hint="default" w:ascii="仿宋" w:hAnsi="仿宋" w:eastAsia="仿宋"/>
          <w:sz w:val="32"/>
          <w:szCs w:val="24"/>
          <w:lang w:val="zh-CN"/>
        </w:rPr>
        <w:t>0</w:t>
      </w:r>
      <w:r>
        <w:rPr>
          <w:rFonts w:hint="eastAsia" w:ascii="仿宋" w:hAnsi="仿宋" w:eastAsia="仿宋"/>
          <w:sz w:val="32"/>
          <w:szCs w:val="24"/>
          <w:lang w:val="zh-CN"/>
        </w:rPr>
        <w:t>万元，占0%；国防（类）支出</w:t>
      </w:r>
      <w:r>
        <w:rPr>
          <w:rFonts w:hint="default" w:ascii="仿宋" w:hAnsi="仿宋" w:eastAsia="仿宋"/>
          <w:sz w:val="32"/>
          <w:szCs w:val="24"/>
          <w:lang w:val="zh-CN"/>
        </w:rPr>
        <w:t>0</w:t>
      </w:r>
      <w:r>
        <w:rPr>
          <w:rFonts w:hint="eastAsia" w:ascii="仿宋" w:hAnsi="仿宋" w:eastAsia="仿宋"/>
          <w:sz w:val="32"/>
          <w:szCs w:val="24"/>
          <w:lang w:val="zh-CN"/>
        </w:rPr>
        <w:t>万元，占0%；公共安全（类）支出</w:t>
      </w:r>
      <w:r>
        <w:rPr>
          <w:rFonts w:hint="default" w:ascii="仿宋" w:hAnsi="仿宋" w:eastAsia="仿宋"/>
          <w:sz w:val="32"/>
          <w:szCs w:val="24"/>
          <w:lang w:val="zh-CN"/>
        </w:rPr>
        <w:t>0</w:t>
      </w:r>
      <w:r>
        <w:rPr>
          <w:rFonts w:hint="eastAsia" w:ascii="仿宋" w:hAnsi="仿宋" w:eastAsia="仿宋"/>
          <w:sz w:val="32"/>
          <w:szCs w:val="24"/>
          <w:lang w:val="zh-CN"/>
        </w:rPr>
        <w:t>万元，占0%；教育（类）支出</w:t>
      </w:r>
      <w:r>
        <w:rPr>
          <w:rFonts w:hint="default" w:ascii="仿宋" w:hAnsi="仿宋" w:eastAsia="仿宋"/>
          <w:sz w:val="32"/>
          <w:szCs w:val="24"/>
          <w:lang w:val="zh-CN"/>
        </w:rPr>
        <w:t>0</w:t>
      </w:r>
      <w:r>
        <w:rPr>
          <w:rFonts w:hint="eastAsia" w:ascii="仿宋" w:hAnsi="仿宋" w:eastAsia="仿宋"/>
          <w:sz w:val="32"/>
          <w:szCs w:val="24"/>
          <w:lang w:val="zh-CN"/>
        </w:rPr>
        <w:t>万元，占0%；科学技术（类）支出</w:t>
      </w:r>
      <w:r>
        <w:rPr>
          <w:rFonts w:hint="default" w:ascii="仿宋" w:hAnsi="仿宋" w:eastAsia="仿宋"/>
          <w:sz w:val="32"/>
          <w:szCs w:val="24"/>
          <w:lang w:val="zh-CN"/>
        </w:rPr>
        <w:t>0</w:t>
      </w:r>
      <w:r>
        <w:rPr>
          <w:rFonts w:hint="eastAsia" w:ascii="仿宋" w:hAnsi="仿宋" w:eastAsia="仿宋"/>
          <w:sz w:val="32"/>
          <w:szCs w:val="24"/>
          <w:lang w:val="zh-CN"/>
        </w:rPr>
        <w:t>万元，占0%；文化体育与传媒（类）支出</w:t>
      </w:r>
      <w:r>
        <w:rPr>
          <w:rFonts w:hint="default" w:ascii="仿宋" w:hAnsi="仿宋" w:eastAsia="仿宋"/>
          <w:sz w:val="32"/>
          <w:szCs w:val="24"/>
          <w:lang w:val="zh-CN"/>
        </w:rPr>
        <w:t>0</w:t>
      </w:r>
      <w:r>
        <w:rPr>
          <w:rFonts w:hint="eastAsia" w:ascii="仿宋" w:hAnsi="仿宋" w:eastAsia="仿宋"/>
          <w:sz w:val="32"/>
          <w:szCs w:val="24"/>
          <w:lang w:val="zh-CN"/>
        </w:rPr>
        <w:t>万元，占0%；社会保障和就业（类）支出23.15万元，占9.46%；医疗卫生和计划生育（类）支出6.82万元，占2.79%；节能环保（类）支出</w:t>
      </w:r>
      <w:r>
        <w:rPr>
          <w:rFonts w:hint="default" w:ascii="仿宋" w:hAnsi="仿宋" w:eastAsia="仿宋"/>
          <w:sz w:val="32"/>
          <w:szCs w:val="24"/>
          <w:lang w:val="zh-CN"/>
        </w:rPr>
        <w:t>0</w:t>
      </w:r>
      <w:r>
        <w:rPr>
          <w:rFonts w:hint="eastAsia" w:ascii="仿宋" w:hAnsi="仿宋" w:eastAsia="仿宋"/>
          <w:sz w:val="32"/>
          <w:szCs w:val="24"/>
          <w:lang w:val="zh-CN"/>
        </w:rPr>
        <w:t>万元，占0%；城乡社区（类）支出</w:t>
      </w:r>
      <w:r>
        <w:rPr>
          <w:rFonts w:hint="default" w:ascii="仿宋" w:hAnsi="仿宋" w:eastAsia="仿宋"/>
          <w:sz w:val="32"/>
          <w:szCs w:val="24"/>
          <w:lang w:val="zh-CN"/>
        </w:rPr>
        <w:t>0</w:t>
      </w:r>
      <w:r>
        <w:rPr>
          <w:rFonts w:hint="eastAsia" w:ascii="仿宋" w:hAnsi="仿宋" w:eastAsia="仿宋"/>
          <w:sz w:val="32"/>
          <w:szCs w:val="24"/>
          <w:lang w:val="zh-CN"/>
        </w:rPr>
        <w:t>万元，占0%；农林水（类）支出</w:t>
      </w:r>
      <w:r>
        <w:rPr>
          <w:rFonts w:hint="default" w:ascii="仿宋" w:hAnsi="仿宋" w:eastAsia="仿宋"/>
          <w:sz w:val="32"/>
          <w:szCs w:val="24"/>
          <w:lang w:val="zh-CN"/>
        </w:rPr>
        <w:t>0</w:t>
      </w:r>
      <w:r>
        <w:rPr>
          <w:rFonts w:hint="eastAsia" w:ascii="仿宋" w:hAnsi="仿宋" w:eastAsia="仿宋"/>
          <w:sz w:val="32"/>
          <w:szCs w:val="24"/>
          <w:lang w:val="zh-CN"/>
        </w:rPr>
        <w:t>万元，占0%；交通运输（类）支出</w:t>
      </w:r>
      <w:r>
        <w:rPr>
          <w:rFonts w:hint="default" w:ascii="仿宋" w:hAnsi="仿宋" w:eastAsia="仿宋"/>
          <w:sz w:val="32"/>
          <w:szCs w:val="24"/>
          <w:lang w:val="zh-CN"/>
        </w:rPr>
        <w:t>0</w:t>
      </w:r>
      <w:r>
        <w:rPr>
          <w:rFonts w:hint="eastAsia" w:ascii="仿宋" w:hAnsi="仿宋" w:eastAsia="仿宋"/>
          <w:sz w:val="32"/>
          <w:szCs w:val="24"/>
          <w:lang w:val="zh-CN"/>
        </w:rPr>
        <w:t>万元，占0%；资源勘探信息（类）支出214.68万元，占87.75%；商业服务业（类）支出</w:t>
      </w:r>
      <w:r>
        <w:rPr>
          <w:rFonts w:hint="default" w:ascii="仿宋" w:hAnsi="仿宋" w:eastAsia="仿宋"/>
          <w:sz w:val="32"/>
          <w:szCs w:val="24"/>
          <w:lang w:val="zh-CN"/>
        </w:rPr>
        <w:t>0</w:t>
      </w:r>
      <w:r>
        <w:rPr>
          <w:rFonts w:hint="eastAsia" w:ascii="仿宋" w:hAnsi="仿宋" w:eastAsia="仿宋"/>
          <w:sz w:val="32"/>
          <w:szCs w:val="24"/>
          <w:lang w:val="zh-CN"/>
        </w:rPr>
        <w:t>万元，占0%；金融（类）支出</w:t>
      </w:r>
      <w:r>
        <w:rPr>
          <w:rFonts w:hint="default" w:ascii="仿宋" w:hAnsi="仿宋" w:eastAsia="仿宋"/>
          <w:sz w:val="32"/>
          <w:szCs w:val="24"/>
          <w:lang w:val="zh-CN"/>
        </w:rPr>
        <w:t>0</w:t>
      </w:r>
      <w:r>
        <w:rPr>
          <w:rFonts w:hint="eastAsia" w:ascii="仿宋" w:hAnsi="仿宋" w:eastAsia="仿宋"/>
          <w:sz w:val="32"/>
          <w:szCs w:val="24"/>
          <w:lang w:val="zh-CN"/>
        </w:rPr>
        <w:t>万元，占0%；援助其他地区（类）支出</w:t>
      </w:r>
      <w:r>
        <w:rPr>
          <w:rFonts w:hint="default" w:ascii="仿宋" w:hAnsi="仿宋" w:eastAsia="仿宋"/>
          <w:sz w:val="32"/>
          <w:szCs w:val="24"/>
          <w:lang w:val="zh-CN"/>
        </w:rPr>
        <w:t>0</w:t>
      </w:r>
      <w:r>
        <w:rPr>
          <w:rFonts w:hint="eastAsia" w:ascii="仿宋" w:hAnsi="仿宋" w:eastAsia="仿宋"/>
          <w:sz w:val="32"/>
          <w:szCs w:val="24"/>
          <w:lang w:val="zh-CN"/>
        </w:rPr>
        <w:t>万元，占0%；国土海洋气象（类）支出</w:t>
      </w:r>
      <w:r>
        <w:rPr>
          <w:rFonts w:hint="default" w:ascii="仿宋" w:hAnsi="仿宋" w:eastAsia="仿宋"/>
          <w:sz w:val="32"/>
          <w:szCs w:val="24"/>
          <w:lang w:val="zh-CN"/>
        </w:rPr>
        <w:t>0</w:t>
      </w:r>
      <w:r>
        <w:rPr>
          <w:rFonts w:hint="eastAsia" w:ascii="仿宋" w:hAnsi="仿宋" w:eastAsia="仿宋"/>
          <w:sz w:val="32"/>
          <w:szCs w:val="24"/>
          <w:lang w:val="zh-CN"/>
        </w:rPr>
        <w:t>万元，占0%；住房保障（类）支出</w:t>
      </w:r>
      <w:r>
        <w:rPr>
          <w:rFonts w:hint="default" w:ascii="仿宋" w:hAnsi="仿宋" w:eastAsia="仿宋"/>
          <w:sz w:val="32"/>
          <w:szCs w:val="24"/>
          <w:lang w:val="zh-CN"/>
        </w:rPr>
        <w:t>0</w:t>
      </w:r>
      <w:r>
        <w:rPr>
          <w:rFonts w:hint="eastAsia" w:ascii="仿宋" w:hAnsi="仿宋" w:eastAsia="仿宋"/>
          <w:sz w:val="32"/>
          <w:szCs w:val="24"/>
          <w:lang w:val="zh-CN"/>
        </w:rPr>
        <w:t>万元，占0%；粮油物资储备（类）支出</w:t>
      </w:r>
      <w:r>
        <w:rPr>
          <w:rFonts w:hint="default" w:ascii="仿宋" w:hAnsi="仿宋" w:eastAsia="仿宋"/>
          <w:sz w:val="32"/>
          <w:szCs w:val="24"/>
          <w:lang w:val="zh-CN"/>
        </w:rPr>
        <w:t>0</w:t>
      </w:r>
      <w:r>
        <w:rPr>
          <w:rFonts w:hint="eastAsia" w:ascii="仿宋" w:hAnsi="仿宋" w:eastAsia="仿宋"/>
          <w:sz w:val="32"/>
          <w:szCs w:val="24"/>
          <w:lang w:val="zh-CN"/>
        </w:rPr>
        <w:t>万元，占0%；其他（类）支出</w:t>
      </w:r>
      <w:r>
        <w:rPr>
          <w:rFonts w:hint="default" w:ascii="仿宋" w:hAnsi="仿宋" w:eastAsia="仿宋"/>
          <w:sz w:val="32"/>
          <w:szCs w:val="24"/>
          <w:lang w:val="zh-CN"/>
        </w:rPr>
        <w:t>0</w:t>
      </w:r>
      <w:r>
        <w:rPr>
          <w:rFonts w:hint="eastAsia" w:ascii="仿宋" w:hAnsi="仿宋" w:eastAsia="仿宋"/>
          <w:sz w:val="32"/>
          <w:szCs w:val="24"/>
          <w:lang w:val="zh-CN"/>
        </w:rPr>
        <w:t>万元，占0%；债务还本（类）支出</w:t>
      </w:r>
      <w:r>
        <w:rPr>
          <w:rFonts w:hint="default" w:ascii="仿宋" w:hAnsi="仿宋" w:eastAsia="仿宋"/>
          <w:sz w:val="32"/>
          <w:szCs w:val="24"/>
          <w:lang w:val="zh-CN"/>
        </w:rPr>
        <w:t>0</w:t>
      </w:r>
      <w:r>
        <w:rPr>
          <w:rFonts w:hint="eastAsia" w:ascii="仿宋" w:hAnsi="仿宋" w:eastAsia="仿宋"/>
          <w:sz w:val="32"/>
          <w:szCs w:val="24"/>
          <w:lang w:val="zh-CN"/>
        </w:rPr>
        <w:t>万元，占0%；债务付息（类）支出</w:t>
      </w:r>
      <w:r>
        <w:rPr>
          <w:rFonts w:hint="default" w:ascii="仿宋" w:hAnsi="仿宋" w:eastAsia="仿宋"/>
          <w:sz w:val="32"/>
          <w:szCs w:val="24"/>
          <w:lang w:val="zh-CN"/>
        </w:rPr>
        <w:t>0</w:t>
      </w:r>
      <w:r>
        <w:rPr>
          <w:rFonts w:hint="eastAsia" w:ascii="仿宋" w:hAnsi="仿宋" w:eastAsia="仿宋"/>
          <w:sz w:val="32"/>
          <w:szCs w:val="24"/>
          <w:lang w:val="zh-CN"/>
        </w:rPr>
        <w:t>万元，占0%。</w:t>
      </w:r>
    </w:p>
    <w:p>
      <w:pPr>
        <w:autoSpaceDE w:val="0"/>
        <w:autoSpaceDN w:val="0"/>
        <w:adjustRightInd w:val="0"/>
        <w:spacing w:beforeLines="0" w:afterLines="0"/>
        <w:ind w:firstLine="320" w:firstLineChars="100"/>
        <w:jc w:val="left"/>
        <w:rPr>
          <w:rFonts w:hint="default" w:ascii="宋体"/>
          <w:kern w:val="0"/>
          <w:sz w:val="32"/>
          <w:szCs w:val="24"/>
          <w:lang w:val="zh-CN"/>
        </w:rPr>
      </w:pPr>
      <w:r>
        <w:rPr>
          <w:rFonts w:hint="eastAsia" w:ascii="宋体" w:hAnsi="宋体" w:cs="宋体"/>
          <w:kern w:val="0"/>
          <w:sz w:val="32"/>
          <w:szCs w:val="24"/>
          <w:lang w:val="zh-CN"/>
        </w:rPr>
        <w:t>（三）具体情况。</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2018年度一般公共预算财政拨款支出年初预算为226.58万元，支出决算为244.65万元，完成年初预算的107.98%。其中：</w:t>
      </w:r>
    </w:p>
    <w:p>
      <w:pPr>
        <w:adjustRightInd w:val="0"/>
        <w:snapToGrid w:val="0"/>
        <w:spacing w:beforeLines="0" w:afterLines="0" w:line="360" w:lineRule="auto"/>
        <w:ind w:firstLine="643" w:firstLineChars="200"/>
        <w:rPr>
          <w:rFonts w:hint="default" w:ascii="仿宋" w:hAnsi="仿宋" w:eastAsia="仿宋"/>
          <w:sz w:val="32"/>
          <w:szCs w:val="24"/>
          <w:lang w:val="zh-CN"/>
        </w:rPr>
      </w:pPr>
      <w:r>
        <w:rPr>
          <w:rFonts w:hint="eastAsia" w:ascii="仿宋_GB2312" w:hAnsi="宋体" w:eastAsia="仿宋_GB2312"/>
          <w:b/>
          <w:kern w:val="0"/>
          <w:sz w:val="32"/>
          <w:szCs w:val="24"/>
          <w:lang w:val="zh-CN"/>
        </w:rPr>
        <w:t>1．资源勘探信息等支出（类）安全生产监管（款）行政运行（项）。</w:t>
      </w:r>
      <w:r>
        <w:rPr>
          <w:rFonts w:hint="eastAsia" w:ascii="仿宋" w:hAnsi="仿宋" w:eastAsia="仿宋"/>
          <w:sz w:val="32"/>
          <w:szCs w:val="24"/>
          <w:lang w:val="zh-CN"/>
        </w:rPr>
        <w:t>年初预算为121.46万元，支出决算为139.10万元，完成年初预算的114.52%。决算数与年初预算数存在差异的主要原因是2018年度人员经费收支同比均有所增加及年初结转和结余。</w:t>
      </w:r>
    </w:p>
    <w:p>
      <w:pPr>
        <w:autoSpaceDE w:val="0"/>
        <w:autoSpaceDN w:val="0"/>
        <w:adjustRightInd w:val="0"/>
        <w:spacing w:beforeLines="0" w:afterLines="0"/>
        <w:ind w:firstLine="643" w:firstLineChars="200"/>
        <w:jc w:val="left"/>
        <w:rPr>
          <w:rFonts w:hint="default" w:ascii="仿宋" w:hAnsi="仿宋" w:eastAsia="仿宋"/>
          <w:sz w:val="32"/>
          <w:szCs w:val="24"/>
          <w:lang w:val="zh-CN"/>
        </w:rPr>
      </w:pPr>
      <w:r>
        <w:rPr>
          <w:rFonts w:hint="eastAsia" w:ascii="仿宋_GB2312" w:hAnsi="宋体" w:eastAsia="仿宋_GB2312"/>
          <w:b/>
          <w:kern w:val="0"/>
          <w:sz w:val="32"/>
          <w:szCs w:val="24"/>
          <w:lang w:val="zh-CN"/>
        </w:rPr>
        <w:t>2．资源勘探信息等支出（类）安全生产监管（款）机关服务（项）。</w:t>
      </w:r>
      <w:r>
        <w:rPr>
          <w:rFonts w:hint="eastAsia" w:ascii="仿宋" w:hAnsi="仿宋" w:eastAsia="仿宋"/>
          <w:sz w:val="32"/>
          <w:szCs w:val="24"/>
          <w:lang w:val="zh-CN"/>
        </w:rPr>
        <w:t>年初预算为63.75万元，支出决算为63.75万元，完成年初预算的100%。</w:t>
      </w:r>
    </w:p>
    <w:p>
      <w:pPr>
        <w:autoSpaceDE w:val="0"/>
        <w:autoSpaceDN w:val="0"/>
        <w:adjustRightInd w:val="0"/>
        <w:spacing w:beforeLines="0" w:afterLines="0"/>
        <w:ind w:firstLine="643" w:firstLineChars="200"/>
        <w:jc w:val="left"/>
        <w:rPr>
          <w:rFonts w:hint="default" w:ascii="仿宋" w:hAnsi="仿宋" w:eastAsia="仿宋"/>
          <w:sz w:val="32"/>
          <w:szCs w:val="24"/>
          <w:lang w:val="zh-CN"/>
        </w:rPr>
      </w:pPr>
      <w:r>
        <w:rPr>
          <w:rFonts w:hint="eastAsia" w:ascii="仿宋_GB2312" w:hAnsi="宋体" w:eastAsia="仿宋_GB2312"/>
          <w:b/>
          <w:kern w:val="0"/>
          <w:sz w:val="32"/>
          <w:szCs w:val="24"/>
          <w:lang w:val="zh-CN"/>
        </w:rPr>
        <w:t>3. 资源勘探信息等支出（类）安全生产监管（款）其他安全生产监管支出（项）。</w:t>
      </w:r>
      <w:r>
        <w:rPr>
          <w:rFonts w:hint="eastAsia" w:ascii="仿宋" w:hAnsi="仿宋" w:eastAsia="仿宋"/>
          <w:sz w:val="32"/>
          <w:szCs w:val="24"/>
          <w:lang w:val="zh-CN"/>
        </w:rPr>
        <w:t>年初预算为 0万元，支出决算为11.82万元，决算数与年初预算数存在差异的主要原因是年初一般行政管理事务调整为其他安全生产监管支出。</w:t>
      </w:r>
    </w:p>
    <w:p>
      <w:pPr>
        <w:autoSpaceDE w:val="0"/>
        <w:autoSpaceDN w:val="0"/>
        <w:adjustRightInd w:val="0"/>
        <w:spacing w:beforeLines="0" w:afterLines="0"/>
        <w:ind w:firstLine="643" w:firstLineChars="200"/>
        <w:jc w:val="left"/>
        <w:rPr>
          <w:rFonts w:hint="default" w:ascii="仿宋" w:hAnsi="仿宋" w:eastAsia="仿宋"/>
          <w:sz w:val="32"/>
          <w:szCs w:val="24"/>
          <w:lang w:val="zh-CN"/>
        </w:rPr>
      </w:pPr>
      <w:r>
        <w:rPr>
          <w:rFonts w:hint="eastAsia" w:ascii="仿宋_GB2312" w:hAnsi="宋体" w:eastAsia="仿宋_GB2312"/>
          <w:b/>
          <w:kern w:val="0"/>
          <w:sz w:val="32"/>
          <w:szCs w:val="24"/>
          <w:lang w:val="zh-CN"/>
        </w:rPr>
        <w:t>4.社会保障和就业支出（类）行政事业单位离退休（款）机关业单位基本养老保险缴费支出（项）。</w:t>
      </w:r>
      <w:r>
        <w:rPr>
          <w:rFonts w:hint="eastAsia" w:ascii="仿宋" w:hAnsi="仿宋" w:eastAsia="仿宋"/>
          <w:sz w:val="32"/>
          <w:szCs w:val="24"/>
          <w:lang w:val="zh-CN"/>
        </w:rPr>
        <w:t>年初预算为22.7万元，支出决算为22.7万元，完成年初预算的100%。</w:t>
      </w:r>
    </w:p>
    <w:p>
      <w:pPr>
        <w:autoSpaceDE w:val="0"/>
        <w:autoSpaceDN w:val="0"/>
        <w:adjustRightInd w:val="0"/>
        <w:spacing w:beforeLines="0" w:afterLines="0"/>
        <w:ind w:firstLine="643" w:firstLineChars="200"/>
        <w:jc w:val="left"/>
        <w:rPr>
          <w:rFonts w:hint="default" w:ascii="仿宋" w:hAnsi="仿宋" w:eastAsia="仿宋"/>
          <w:sz w:val="32"/>
          <w:szCs w:val="24"/>
          <w:lang w:val="zh-CN"/>
        </w:rPr>
      </w:pPr>
      <w:r>
        <w:rPr>
          <w:rFonts w:hint="eastAsia" w:ascii="仿宋_GB2312" w:hAnsi="宋体" w:eastAsia="仿宋_GB2312"/>
          <w:b/>
          <w:kern w:val="0"/>
          <w:sz w:val="32"/>
          <w:szCs w:val="24"/>
          <w:lang w:val="zh-CN"/>
        </w:rPr>
        <w:t>5.社会保障和就业支出（类）其他社会保障和就业支出（款）其他社会保障和就业支出（项）。</w:t>
      </w:r>
      <w:r>
        <w:rPr>
          <w:rFonts w:hint="eastAsia" w:ascii="仿宋" w:hAnsi="仿宋" w:eastAsia="仿宋"/>
          <w:sz w:val="32"/>
          <w:szCs w:val="24"/>
          <w:lang w:val="zh-CN"/>
        </w:rPr>
        <w:t>年初预算为</w:t>
      </w:r>
      <w:r>
        <w:rPr>
          <w:rFonts w:hint="default" w:ascii="仿宋" w:hAnsi="仿宋" w:eastAsia="仿宋"/>
          <w:sz w:val="32"/>
          <w:szCs w:val="24"/>
          <w:lang w:val="zh-CN"/>
        </w:rPr>
        <w:t>0</w:t>
      </w:r>
      <w:r>
        <w:rPr>
          <w:rFonts w:hint="eastAsia" w:ascii="仿宋" w:hAnsi="仿宋" w:eastAsia="仿宋"/>
          <w:sz w:val="32"/>
          <w:szCs w:val="24"/>
          <w:lang w:val="zh-CN"/>
        </w:rPr>
        <w:t>万元，支出决算为0.45万元，决算数与年初预算数存在差异的主要原因是年初财政对失业保险基金的补助调整其他社会保障和就业支出。</w:t>
      </w:r>
    </w:p>
    <w:p>
      <w:pPr>
        <w:autoSpaceDE w:val="0"/>
        <w:autoSpaceDN w:val="0"/>
        <w:adjustRightInd w:val="0"/>
        <w:spacing w:beforeLines="0" w:afterLines="0"/>
        <w:ind w:firstLine="643" w:firstLineChars="200"/>
        <w:jc w:val="left"/>
        <w:rPr>
          <w:rFonts w:hint="default" w:ascii="仿宋" w:hAnsi="仿宋" w:eastAsia="仿宋"/>
          <w:sz w:val="32"/>
          <w:szCs w:val="24"/>
          <w:lang w:val="zh-CN"/>
        </w:rPr>
      </w:pPr>
      <w:r>
        <w:rPr>
          <w:rFonts w:hint="eastAsia" w:ascii="仿宋_GB2312" w:hAnsi="宋体" w:eastAsia="仿宋_GB2312"/>
          <w:b/>
          <w:kern w:val="0"/>
          <w:sz w:val="32"/>
          <w:szCs w:val="24"/>
          <w:lang w:val="zh-CN"/>
        </w:rPr>
        <w:t>6.医疗卫生和计划生育支出（类）行政事业单位医疗（款）其行政单位医疗（项）。</w:t>
      </w:r>
      <w:r>
        <w:rPr>
          <w:rFonts w:hint="eastAsia" w:ascii="仿宋" w:hAnsi="仿宋" w:eastAsia="仿宋"/>
          <w:sz w:val="32"/>
          <w:szCs w:val="24"/>
          <w:lang w:val="zh-CN"/>
        </w:rPr>
        <w:t>年初预算为6.82万元，支出决算为6.82万元，完成年初预算的100%。</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六、一般公共预算财政拨款基本支出决算情况说明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一般公共预算财政拨款基本支出244.65万元。其中：人员经费205.05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39.60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七、一般公共预算财政拨款</w:t>
      </w:r>
      <w:r>
        <w:rPr>
          <w:rFonts w:hint="eastAsia" w:ascii="宋体"/>
          <w:kern w:val="0"/>
          <w:sz w:val="32"/>
          <w:szCs w:val="24"/>
          <w:lang w:val="zh-CN"/>
        </w:rPr>
        <w:t>“</w:t>
      </w:r>
      <w:r>
        <w:rPr>
          <w:rFonts w:hint="eastAsia" w:ascii="宋体" w:hAnsi="宋体" w:cs="宋体"/>
          <w:kern w:val="0"/>
          <w:sz w:val="32"/>
          <w:szCs w:val="24"/>
          <w:lang w:val="zh-CN"/>
        </w:rPr>
        <w:t>三公</w:t>
      </w:r>
      <w:r>
        <w:rPr>
          <w:rFonts w:hint="eastAsia" w:ascii="宋体"/>
          <w:kern w:val="0"/>
          <w:sz w:val="32"/>
          <w:szCs w:val="24"/>
          <w:lang w:val="zh-CN"/>
        </w:rPr>
        <w:t>”</w:t>
      </w:r>
      <w:r>
        <w:rPr>
          <w:rFonts w:hint="eastAsia" w:ascii="宋体" w:hAnsi="宋体" w:cs="宋体"/>
          <w:kern w:val="0"/>
          <w:sz w:val="32"/>
          <w:szCs w:val="24"/>
          <w:lang w:val="zh-CN"/>
        </w:rPr>
        <w:t>经费支出决算情况说明</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（一）</w:t>
      </w:r>
      <w:r>
        <w:rPr>
          <w:rFonts w:hint="eastAsia" w:ascii="宋体"/>
          <w:kern w:val="0"/>
          <w:sz w:val="32"/>
          <w:szCs w:val="24"/>
          <w:lang w:val="zh-CN"/>
        </w:rPr>
        <w:t>“</w:t>
      </w:r>
      <w:r>
        <w:rPr>
          <w:rFonts w:hint="eastAsia" w:ascii="宋体" w:hAnsi="宋体" w:cs="宋体"/>
          <w:kern w:val="0"/>
          <w:sz w:val="32"/>
          <w:szCs w:val="24"/>
          <w:lang w:val="zh-CN"/>
        </w:rPr>
        <w:t>三公</w:t>
      </w:r>
      <w:r>
        <w:rPr>
          <w:rFonts w:hint="eastAsia" w:ascii="宋体"/>
          <w:kern w:val="0"/>
          <w:sz w:val="32"/>
          <w:szCs w:val="24"/>
          <w:lang w:val="zh-CN"/>
        </w:rPr>
        <w:t>”</w:t>
      </w:r>
      <w:r>
        <w:rPr>
          <w:rFonts w:hint="eastAsia" w:ascii="宋体" w:hAnsi="宋体" w:cs="宋体"/>
          <w:kern w:val="0"/>
          <w:sz w:val="32"/>
          <w:szCs w:val="24"/>
          <w:lang w:val="zh-CN"/>
        </w:rPr>
        <w:t>经费财政拨款支出决算总体情况说明。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2018年度“三公”经费财政拨款支出预算为</w:t>
      </w:r>
      <w:r>
        <w:rPr>
          <w:rFonts w:hint="default" w:ascii="仿宋" w:hAnsi="仿宋" w:eastAsia="仿宋"/>
          <w:sz w:val="32"/>
          <w:szCs w:val="24"/>
          <w:lang w:val="zh-CN"/>
        </w:rPr>
        <w:t>0</w:t>
      </w:r>
      <w:r>
        <w:rPr>
          <w:rFonts w:hint="eastAsia" w:ascii="仿宋" w:hAnsi="仿宋" w:eastAsia="仿宋"/>
          <w:sz w:val="32"/>
          <w:szCs w:val="24"/>
          <w:lang w:val="zh-CN"/>
        </w:rPr>
        <w:t>万元，支出决算为</w:t>
      </w:r>
      <w:r>
        <w:rPr>
          <w:rFonts w:hint="default" w:ascii="仿宋" w:hAnsi="仿宋" w:eastAsia="仿宋"/>
          <w:sz w:val="32"/>
          <w:szCs w:val="24"/>
          <w:lang w:val="zh-CN"/>
        </w:rPr>
        <w:t>0</w:t>
      </w:r>
      <w:r>
        <w:rPr>
          <w:rFonts w:hint="eastAsia" w:ascii="仿宋" w:hAnsi="仿宋" w:eastAsia="仿宋"/>
          <w:sz w:val="32"/>
          <w:szCs w:val="24"/>
          <w:lang w:val="zh-CN"/>
        </w:rPr>
        <w:t>万元，完成预算的0%。</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（二）</w:t>
      </w:r>
      <w:r>
        <w:rPr>
          <w:rFonts w:hint="eastAsia" w:ascii="宋体"/>
          <w:kern w:val="0"/>
          <w:sz w:val="32"/>
          <w:szCs w:val="24"/>
          <w:lang w:val="zh-CN"/>
        </w:rPr>
        <w:t>“</w:t>
      </w:r>
      <w:r>
        <w:rPr>
          <w:rFonts w:hint="eastAsia" w:ascii="宋体" w:hAnsi="宋体" w:cs="宋体"/>
          <w:kern w:val="0"/>
          <w:sz w:val="32"/>
          <w:szCs w:val="24"/>
          <w:lang w:val="zh-CN"/>
        </w:rPr>
        <w:t>三公</w:t>
      </w:r>
      <w:r>
        <w:rPr>
          <w:rFonts w:hint="eastAsia" w:ascii="宋体"/>
          <w:kern w:val="0"/>
          <w:sz w:val="32"/>
          <w:szCs w:val="24"/>
          <w:lang w:val="zh-CN"/>
        </w:rPr>
        <w:t>”</w:t>
      </w:r>
      <w:r>
        <w:rPr>
          <w:rFonts w:hint="eastAsia" w:ascii="宋体" w:hAnsi="宋体" w:cs="宋体"/>
          <w:kern w:val="0"/>
          <w:sz w:val="32"/>
          <w:szCs w:val="24"/>
          <w:lang w:val="zh-CN"/>
        </w:rPr>
        <w:t>经费财政拨款支出决算具体情况说明。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2018年度“三公”经费财政拨款支出决算中，因公出国（境）费支出决算</w:t>
      </w:r>
      <w:r>
        <w:rPr>
          <w:rFonts w:hint="default" w:ascii="仿宋" w:hAnsi="仿宋" w:eastAsia="仿宋"/>
          <w:sz w:val="32"/>
          <w:szCs w:val="24"/>
          <w:lang w:val="zh-CN"/>
        </w:rPr>
        <w:t>0</w:t>
      </w:r>
      <w:r>
        <w:rPr>
          <w:rFonts w:hint="eastAsia" w:ascii="仿宋" w:hAnsi="仿宋" w:eastAsia="仿宋"/>
          <w:sz w:val="32"/>
          <w:szCs w:val="24"/>
          <w:lang w:val="zh-CN"/>
        </w:rPr>
        <w:t>万元，完成预算的0%，占0%；公务用车购置及运行费支出决算</w:t>
      </w:r>
      <w:r>
        <w:rPr>
          <w:rFonts w:hint="default" w:ascii="仿宋" w:hAnsi="仿宋" w:eastAsia="仿宋"/>
          <w:sz w:val="32"/>
          <w:szCs w:val="24"/>
          <w:lang w:val="zh-CN"/>
        </w:rPr>
        <w:t>0</w:t>
      </w:r>
      <w:r>
        <w:rPr>
          <w:rFonts w:hint="eastAsia" w:ascii="仿宋" w:hAnsi="仿宋" w:eastAsia="仿宋"/>
          <w:sz w:val="32"/>
          <w:szCs w:val="24"/>
          <w:lang w:val="zh-CN"/>
        </w:rPr>
        <w:t>万元，完成预算的0%，占0%；公务接待费支出决算</w:t>
      </w:r>
      <w:r>
        <w:rPr>
          <w:rFonts w:hint="default" w:ascii="仿宋" w:hAnsi="仿宋" w:eastAsia="仿宋"/>
          <w:sz w:val="32"/>
          <w:szCs w:val="24"/>
          <w:lang w:val="zh-CN"/>
        </w:rPr>
        <w:t>0</w:t>
      </w:r>
      <w:r>
        <w:rPr>
          <w:rFonts w:hint="eastAsia" w:ascii="仿宋" w:hAnsi="仿宋" w:eastAsia="仿宋"/>
          <w:sz w:val="32"/>
          <w:szCs w:val="24"/>
          <w:lang w:val="zh-CN"/>
        </w:rPr>
        <w:t>万元，完成预算的0%，占0%。具体情况如下：</w:t>
      </w:r>
    </w:p>
    <w:p>
      <w:pPr>
        <w:widowControl/>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1．因公出国（境）费年初预算为</w:t>
      </w:r>
      <w:r>
        <w:rPr>
          <w:rFonts w:hint="default" w:ascii="仿宋" w:hAnsi="仿宋" w:eastAsia="仿宋"/>
          <w:sz w:val="32"/>
          <w:szCs w:val="24"/>
          <w:lang w:val="zh-CN"/>
        </w:rPr>
        <w:t>0</w:t>
      </w:r>
      <w:r>
        <w:rPr>
          <w:rFonts w:hint="eastAsia" w:ascii="仿宋" w:hAnsi="仿宋" w:eastAsia="仿宋"/>
          <w:sz w:val="32"/>
          <w:szCs w:val="24"/>
          <w:lang w:val="zh-CN"/>
        </w:rPr>
        <w:t>万元，支出决算为</w:t>
      </w:r>
      <w:r>
        <w:rPr>
          <w:rFonts w:hint="default" w:ascii="仿宋" w:hAnsi="仿宋" w:eastAsia="仿宋"/>
          <w:sz w:val="32"/>
          <w:szCs w:val="24"/>
          <w:lang w:val="zh-CN"/>
        </w:rPr>
        <w:t>0</w:t>
      </w:r>
      <w:r>
        <w:rPr>
          <w:rFonts w:hint="eastAsia" w:ascii="仿宋" w:hAnsi="仿宋" w:eastAsia="仿宋"/>
          <w:sz w:val="32"/>
          <w:szCs w:val="24"/>
          <w:lang w:val="zh-CN"/>
        </w:rPr>
        <w:t>万元，完成年初预算的0%。全年因公出国（境）团组</w:t>
      </w:r>
      <w:r>
        <w:rPr>
          <w:rFonts w:hint="default" w:ascii="仿宋" w:hAnsi="仿宋" w:eastAsia="仿宋"/>
          <w:sz w:val="32"/>
          <w:szCs w:val="24"/>
          <w:lang w:val="zh-CN"/>
        </w:rPr>
        <w:t>0</w:t>
      </w:r>
      <w:r>
        <w:rPr>
          <w:rFonts w:hint="eastAsia" w:ascii="仿宋" w:hAnsi="仿宋" w:eastAsia="仿宋"/>
          <w:sz w:val="32"/>
          <w:szCs w:val="24"/>
          <w:lang w:val="zh-CN"/>
        </w:rPr>
        <w:t>个，累计</w:t>
      </w:r>
      <w:r>
        <w:rPr>
          <w:rFonts w:hint="default" w:ascii="仿宋" w:hAnsi="仿宋" w:eastAsia="仿宋"/>
          <w:sz w:val="32"/>
          <w:szCs w:val="24"/>
          <w:lang w:val="zh-CN"/>
        </w:rPr>
        <w:t>0</w:t>
      </w:r>
      <w:r>
        <w:rPr>
          <w:rFonts w:hint="eastAsia" w:ascii="仿宋" w:hAnsi="仿宋" w:eastAsia="仿宋"/>
          <w:sz w:val="32"/>
          <w:szCs w:val="24"/>
          <w:lang w:val="zh-CN"/>
        </w:rPr>
        <w:t>人次。开支内容包括：</w:t>
      </w:r>
    </w:p>
    <w:p>
      <w:pPr>
        <w:spacing w:beforeLines="0" w:afterLines="0"/>
        <w:ind w:firstLine="640" w:firstLineChars="200"/>
        <w:jc w:val="left"/>
        <w:rPr>
          <w:rFonts w:hint="default" w:ascii="仿宋" w:hAnsi="仿宋" w:eastAsia="仿宋"/>
          <w:sz w:val="32"/>
          <w:szCs w:val="24"/>
        </w:rPr>
      </w:pPr>
      <w:r>
        <w:rPr>
          <w:rFonts w:hint="eastAsia" w:ascii="仿宋" w:hAnsi="仿宋" w:eastAsia="仿宋"/>
          <w:sz w:val="32"/>
          <w:szCs w:val="24"/>
          <w:lang w:val="zh-CN"/>
        </w:rPr>
        <w:t>会议支出</w:t>
      </w:r>
      <w:r>
        <w:rPr>
          <w:rFonts w:hint="default" w:ascii="仿宋" w:hAnsi="仿宋" w:eastAsia="仿宋"/>
          <w:sz w:val="32"/>
          <w:szCs w:val="24"/>
        </w:rPr>
        <w:t>0</w:t>
      </w:r>
      <w:r>
        <w:rPr>
          <w:rFonts w:hint="eastAsia" w:ascii="仿宋" w:hAnsi="仿宋" w:eastAsia="仿宋"/>
          <w:sz w:val="32"/>
          <w:szCs w:val="24"/>
        </w:rPr>
        <w:t>万元。</w:t>
      </w:r>
    </w:p>
    <w:p>
      <w:pPr>
        <w:spacing w:beforeLines="0" w:afterLines="0"/>
        <w:ind w:firstLine="640" w:firstLineChars="200"/>
        <w:jc w:val="left"/>
        <w:rPr>
          <w:rFonts w:hint="default" w:ascii="仿宋" w:hAnsi="仿宋" w:eastAsia="仿宋"/>
          <w:sz w:val="32"/>
          <w:szCs w:val="24"/>
        </w:rPr>
      </w:pPr>
      <w:r>
        <w:rPr>
          <w:rFonts w:hint="eastAsia" w:ascii="仿宋" w:hAnsi="仿宋" w:eastAsia="仿宋"/>
          <w:sz w:val="32"/>
          <w:szCs w:val="24"/>
          <w:lang w:val="zh-CN"/>
        </w:rPr>
        <w:t>因公出国（境）各种支出</w:t>
      </w:r>
      <w:r>
        <w:rPr>
          <w:rFonts w:hint="default" w:ascii="仿宋" w:hAnsi="仿宋" w:eastAsia="仿宋"/>
          <w:sz w:val="32"/>
          <w:szCs w:val="24"/>
        </w:rPr>
        <w:t>0</w:t>
      </w:r>
      <w:r>
        <w:rPr>
          <w:rFonts w:hint="eastAsia" w:ascii="仿宋" w:hAnsi="仿宋" w:eastAsia="仿宋"/>
          <w:sz w:val="32"/>
          <w:szCs w:val="24"/>
        </w:rPr>
        <w:t>万元。</w:t>
      </w:r>
    </w:p>
    <w:p>
      <w:pPr>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出国谈判、工作磋商支出</w:t>
      </w:r>
      <w:r>
        <w:rPr>
          <w:rFonts w:hint="default" w:ascii="仿宋" w:hAnsi="仿宋" w:eastAsia="仿宋"/>
          <w:sz w:val="32"/>
          <w:szCs w:val="24"/>
          <w:lang w:val="zh-CN"/>
        </w:rPr>
        <w:t>0</w:t>
      </w:r>
      <w:r>
        <w:rPr>
          <w:rFonts w:hint="eastAsia" w:ascii="仿宋" w:hAnsi="仿宋" w:eastAsia="仿宋"/>
          <w:sz w:val="32"/>
          <w:szCs w:val="24"/>
          <w:lang w:val="zh-CN"/>
        </w:rPr>
        <w:t>万元。</w:t>
      </w:r>
    </w:p>
    <w:p>
      <w:pPr>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境外业务培训支出支出</w:t>
      </w:r>
      <w:r>
        <w:rPr>
          <w:rFonts w:hint="default" w:ascii="仿宋" w:hAnsi="仿宋" w:eastAsia="仿宋"/>
          <w:sz w:val="32"/>
          <w:szCs w:val="24"/>
          <w:lang w:val="zh-CN"/>
        </w:rPr>
        <w:t>0</w:t>
      </w:r>
      <w:r>
        <w:rPr>
          <w:rFonts w:hint="eastAsia" w:ascii="仿宋" w:hAnsi="仿宋" w:eastAsia="仿宋"/>
          <w:sz w:val="32"/>
          <w:szCs w:val="24"/>
          <w:lang w:val="zh-CN"/>
        </w:rPr>
        <w:t>万元。</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2．公务用车购置及运行费初预算为</w:t>
      </w:r>
      <w:r>
        <w:rPr>
          <w:rFonts w:hint="default" w:ascii="仿宋" w:hAnsi="仿宋" w:eastAsia="仿宋"/>
          <w:sz w:val="32"/>
          <w:szCs w:val="24"/>
          <w:lang w:val="zh-CN"/>
        </w:rPr>
        <w:t>0</w:t>
      </w:r>
      <w:r>
        <w:rPr>
          <w:rFonts w:hint="eastAsia" w:ascii="仿宋" w:hAnsi="仿宋" w:eastAsia="仿宋"/>
          <w:sz w:val="32"/>
          <w:szCs w:val="24"/>
          <w:lang w:val="zh-CN"/>
        </w:rPr>
        <w:t>万元，支出决算为</w:t>
      </w:r>
      <w:r>
        <w:rPr>
          <w:rFonts w:hint="default" w:ascii="仿宋" w:hAnsi="仿宋" w:eastAsia="仿宋"/>
          <w:sz w:val="32"/>
          <w:szCs w:val="24"/>
          <w:lang w:val="zh-CN"/>
        </w:rPr>
        <w:t>0</w:t>
      </w:r>
      <w:r>
        <w:rPr>
          <w:rFonts w:hint="eastAsia" w:ascii="仿宋" w:hAnsi="仿宋" w:eastAsia="仿宋"/>
          <w:sz w:val="32"/>
          <w:szCs w:val="24"/>
          <w:lang w:val="zh-CN"/>
        </w:rPr>
        <w:t>万元，完成年初预算的0%。</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公务用车购置支出为</w:t>
      </w:r>
      <w:r>
        <w:rPr>
          <w:rFonts w:hint="default" w:ascii="仿宋" w:hAnsi="仿宋" w:eastAsia="仿宋"/>
          <w:sz w:val="32"/>
          <w:szCs w:val="24"/>
          <w:lang w:val="zh-CN"/>
        </w:rPr>
        <w:t>0</w:t>
      </w:r>
      <w:r>
        <w:rPr>
          <w:rFonts w:hint="eastAsia" w:ascii="仿宋" w:hAnsi="仿宋" w:eastAsia="仿宋"/>
          <w:sz w:val="32"/>
          <w:szCs w:val="24"/>
          <w:lang w:val="zh-CN"/>
        </w:rPr>
        <w:t>万元，购置车辆</w:t>
      </w:r>
      <w:r>
        <w:rPr>
          <w:rFonts w:hint="default" w:ascii="仿宋" w:hAnsi="仿宋" w:eastAsia="仿宋"/>
          <w:sz w:val="32"/>
          <w:szCs w:val="24"/>
          <w:lang w:val="zh-CN"/>
        </w:rPr>
        <w:t>0</w:t>
      </w:r>
      <w:r>
        <w:rPr>
          <w:rFonts w:hint="eastAsia" w:ascii="仿宋" w:hAnsi="仿宋" w:eastAsia="仿宋"/>
          <w:sz w:val="32"/>
          <w:szCs w:val="24"/>
          <w:lang w:val="zh-CN"/>
        </w:rPr>
        <w:t>辆。</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公务用车运行支出</w:t>
      </w:r>
      <w:r>
        <w:rPr>
          <w:rFonts w:hint="default" w:ascii="仿宋" w:hAnsi="仿宋" w:eastAsia="仿宋"/>
          <w:sz w:val="32"/>
          <w:szCs w:val="24"/>
          <w:lang w:val="zh-CN"/>
        </w:rPr>
        <w:t>0</w:t>
      </w:r>
      <w:r>
        <w:rPr>
          <w:rFonts w:hint="eastAsia" w:ascii="仿宋" w:hAnsi="仿宋" w:eastAsia="仿宋"/>
          <w:sz w:val="32"/>
          <w:szCs w:val="24"/>
          <w:lang w:val="zh-CN"/>
        </w:rPr>
        <w:t>万元。2018年期末，部门开支财政拨款的公务用车保有量为</w:t>
      </w:r>
      <w:r>
        <w:rPr>
          <w:rFonts w:hint="default" w:ascii="仿宋" w:hAnsi="仿宋" w:eastAsia="仿宋"/>
          <w:sz w:val="32"/>
          <w:szCs w:val="24"/>
          <w:lang w:val="zh-CN"/>
        </w:rPr>
        <w:t>0</w:t>
      </w:r>
      <w:r>
        <w:rPr>
          <w:rFonts w:hint="eastAsia" w:ascii="仿宋" w:hAnsi="仿宋" w:eastAsia="仿宋"/>
          <w:sz w:val="32"/>
          <w:szCs w:val="24"/>
          <w:lang w:val="zh-CN"/>
        </w:rPr>
        <w:t>辆。</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3.公务接待费初预算为</w:t>
      </w:r>
      <w:r>
        <w:rPr>
          <w:rFonts w:hint="default" w:ascii="仿宋" w:hAnsi="仿宋" w:eastAsia="仿宋"/>
          <w:sz w:val="32"/>
          <w:szCs w:val="24"/>
          <w:lang w:val="zh-CN"/>
        </w:rPr>
        <w:t>0</w:t>
      </w:r>
      <w:r>
        <w:rPr>
          <w:rFonts w:hint="eastAsia" w:ascii="仿宋" w:hAnsi="仿宋" w:eastAsia="仿宋"/>
          <w:sz w:val="32"/>
          <w:szCs w:val="24"/>
          <w:lang w:val="zh-CN"/>
        </w:rPr>
        <w:t>万元，支出决算为</w:t>
      </w:r>
      <w:r>
        <w:rPr>
          <w:rFonts w:hint="default" w:ascii="仿宋" w:hAnsi="仿宋" w:eastAsia="仿宋"/>
          <w:sz w:val="32"/>
          <w:szCs w:val="24"/>
          <w:lang w:val="zh-CN"/>
        </w:rPr>
        <w:t>0</w:t>
      </w:r>
      <w:r>
        <w:rPr>
          <w:rFonts w:hint="eastAsia" w:ascii="仿宋" w:hAnsi="仿宋" w:eastAsia="仿宋"/>
          <w:sz w:val="32"/>
          <w:szCs w:val="24"/>
          <w:lang w:val="zh-CN"/>
        </w:rPr>
        <w:t>万元，完成年初预算的0%。</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外宾接待支出</w:t>
      </w:r>
      <w:r>
        <w:rPr>
          <w:rFonts w:hint="default" w:ascii="仿宋" w:hAnsi="仿宋" w:eastAsia="仿宋"/>
          <w:sz w:val="32"/>
          <w:szCs w:val="24"/>
          <w:lang w:val="zh-CN"/>
        </w:rPr>
        <w:t>0</w:t>
      </w:r>
      <w:r>
        <w:rPr>
          <w:rFonts w:hint="eastAsia" w:ascii="仿宋" w:hAnsi="仿宋" w:eastAsia="仿宋"/>
          <w:sz w:val="32"/>
          <w:szCs w:val="24"/>
          <w:lang w:val="zh-CN"/>
        </w:rPr>
        <w:t>万元。2018年共接待国（境）外来访团组</w:t>
      </w:r>
      <w:r>
        <w:rPr>
          <w:rFonts w:hint="default" w:ascii="仿宋" w:hAnsi="仿宋" w:eastAsia="仿宋"/>
          <w:sz w:val="32"/>
          <w:szCs w:val="24"/>
          <w:lang w:val="zh-CN"/>
        </w:rPr>
        <w:t>0</w:t>
      </w:r>
      <w:r>
        <w:rPr>
          <w:rFonts w:hint="eastAsia" w:ascii="仿宋" w:hAnsi="仿宋" w:eastAsia="仿宋"/>
          <w:sz w:val="32"/>
          <w:szCs w:val="24"/>
          <w:lang w:val="zh-CN"/>
        </w:rPr>
        <w:t>个、来访外宾</w:t>
      </w:r>
      <w:r>
        <w:rPr>
          <w:rFonts w:hint="default" w:ascii="仿宋" w:hAnsi="仿宋" w:eastAsia="仿宋"/>
          <w:sz w:val="32"/>
          <w:szCs w:val="24"/>
          <w:lang w:val="zh-CN"/>
        </w:rPr>
        <w:t>0</w:t>
      </w:r>
      <w:r>
        <w:rPr>
          <w:rFonts w:hint="eastAsia" w:ascii="仿宋" w:hAnsi="仿宋" w:eastAsia="仿宋"/>
          <w:sz w:val="32"/>
          <w:szCs w:val="24"/>
          <w:lang w:val="zh-CN"/>
        </w:rPr>
        <w:t>人次（不包括陪同人员）。</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其他国内公务接待支出</w:t>
      </w:r>
      <w:r>
        <w:rPr>
          <w:rFonts w:hint="default" w:ascii="仿宋" w:hAnsi="仿宋" w:eastAsia="仿宋"/>
          <w:sz w:val="32"/>
          <w:szCs w:val="24"/>
          <w:lang w:val="zh-CN"/>
        </w:rPr>
        <w:t>0</w:t>
      </w:r>
      <w:r>
        <w:rPr>
          <w:rFonts w:hint="eastAsia" w:ascii="仿宋" w:hAnsi="仿宋" w:eastAsia="仿宋"/>
          <w:sz w:val="32"/>
          <w:szCs w:val="24"/>
          <w:lang w:val="zh-CN"/>
        </w:rPr>
        <w:t>万元。2018年共接待国内来访团组</w:t>
      </w:r>
      <w:r>
        <w:rPr>
          <w:rFonts w:hint="default" w:ascii="仿宋" w:hAnsi="仿宋" w:eastAsia="仿宋"/>
          <w:sz w:val="32"/>
          <w:szCs w:val="24"/>
          <w:lang w:val="zh-CN"/>
        </w:rPr>
        <w:t>0</w:t>
      </w:r>
      <w:r>
        <w:rPr>
          <w:rFonts w:hint="eastAsia" w:ascii="仿宋" w:hAnsi="仿宋" w:eastAsia="仿宋"/>
          <w:sz w:val="32"/>
          <w:szCs w:val="24"/>
          <w:lang w:val="zh-CN"/>
        </w:rPr>
        <w:t>个、来宾</w:t>
      </w:r>
      <w:r>
        <w:rPr>
          <w:rFonts w:hint="default" w:ascii="仿宋" w:hAnsi="仿宋" w:eastAsia="仿宋"/>
          <w:sz w:val="32"/>
          <w:szCs w:val="24"/>
          <w:lang w:val="zh-CN"/>
        </w:rPr>
        <w:t>0</w:t>
      </w:r>
      <w:r>
        <w:rPr>
          <w:rFonts w:hint="eastAsia" w:ascii="仿宋" w:hAnsi="仿宋" w:eastAsia="仿宋"/>
          <w:sz w:val="32"/>
          <w:szCs w:val="24"/>
          <w:lang w:val="zh-CN"/>
        </w:rPr>
        <w:t>人次（不包括陪同人员）。</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八、预算绩效情况说明</w:t>
      </w:r>
    </w:p>
    <w:p>
      <w:pPr>
        <w:autoSpaceDE w:val="0"/>
        <w:autoSpaceDN w:val="0"/>
        <w:adjustRightInd w:val="0"/>
        <w:spacing w:beforeLines="0" w:afterLines="0"/>
        <w:ind w:firstLine="480" w:firstLineChars="150"/>
        <w:jc w:val="left"/>
        <w:rPr>
          <w:rFonts w:hint="default" w:ascii="宋体"/>
          <w:kern w:val="0"/>
          <w:sz w:val="32"/>
          <w:szCs w:val="24"/>
          <w:lang w:val="zh-CN"/>
        </w:rPr>
      </w:pPr>
      <w:r>
        <w:rPr>
          <w:rFonts w:hint="eastAsia" w:ascii="宋体" w:hAnsi="宋体" w:cs="宋体"/>
          <w:kern w:val="0"/>
          <w:sz w:val="32"/>
          <w:szCs w:val="24"/>
          <w:lang w:val="zh-CN"/>
        </w:rPr>
        <w:t>（一）绩效管理工作开展情况。</w:t>
      </w:r>
    </w:p>
    <w:p>
      <w:pPr>
        <w:kinsoku w:val="0"/>
        <w:overflowPunct w:val="0"/>
        <w:autoSpaceDE w:val="0"/>
        <w:autoSpaceDN w:val="0"/>
        <w:adjustRightInd w:val="0"/>
        <w:snapToGrid w:val="0"/>
        <w:spacing w:beforeLines="0" w:afterLines="0" w:line="360" w:lineRule="auto"/>
        <w:ind w:firstLine="640" w:firstLineChars="200"/>
        <w:rPr>
          <w:rFonts w:hint="default" w:ascii="仿宋" w:hAnsi="仿宋" w:eastAsia="仿宋"/>
          <w:sz w:val="32"/>
          <w:szCs w:val="24"/>
          <w:lang w:val="zh-CN"/>
        </w:rPr>
      </w:pPr>
      <w:r>
        <w:rPr>
          <w:rFonts w:hint="eastAsia" w:ascii="仿宋" w:hAnsi="仿宋" w:eastAsia="仿宋"/>
          <w:sz w:val="32"/>
          <w:szCs w:val="24"/>
          <w:lang w:val="zh-CN"/>
        </w:rPr>
        <w:t>2018年，我单位按照延津县财政局的要求，对预算项目资金认真开展了绩效评价。通过对项目资金开展绩效评价，使我单位近一步认清了资金使用中存在的薄弱环节，加快了资金的支出进度，提高了项目资金的使用效率。</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（二）项目绩效自评结果。</w:t>
      </w:r>
    </w:p>
    <w:p>
      <w:pPr>
        <w:kinsoku w:val="0"/>
        <w:overflowPunct w:val="0"/>
        <w:autoSpaceDE w:val="0"/>
        <w:autoSpaceDN w:val="0"/>
        <w:adjustRightInd w:val="0"/>
        <w:snapToGrid w:val="0"/>
        <w:spacing w:beforeLines="0" w:afterLines="0" w:line="360" w:lineRule="auto"/>
        <w:ind w:firstLine="640" w:firstLineChars="200"/>
        <w:rPr>
          <w:rFonts w:hint="default" w:ascii="仿宋" w:hAnsi="仿宋" w:eastAsia="仿宋"/>
          <w:sz w:val="32"/>
          <w:szCs w:val="24"/>
          <w:lang w:val="zh-CN"/>
        </w:rPr>
      </w:pPr>
      <w:r>
        <w:rPr>
          <w:rFonts w:hint="eastAsia" w:ascii="仿宋" w:hAnsi="仿宋" w:eastAsia="仿宋"/>
          <w:sz w:val="32"/>
          <w:szCs w:val="24"/>
          <w:lang w:val="zh-CN"/>
        </w:rPr>
        <w:t>通过绩效评价也促进了我单位安全生产工作的开展，使全县安全生产形式持续稳定，获得了良好的社会效益，使政府、企业、广大群众对我单位项目工作的社会满意度得到了明显提高。</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（三）以部门为主体开展的重点绩效评价结果。</w:t>
      </w:r>
    </w:p>
    <w:p>
      <w:pPr>
        <w:kinsoku w:val="0"/>
        <w:overflowPunct w:val="0"/>
        <w:autoSpaceDE w:val="0"/>
        <w:autoSpaceDN w:val="0"/>
        <w:adjustRightInd w:val="0"/>
        <w:snapToGrid w:val="0"/>
        <w:spacing w:beforeLines="0" w:afterLines="0" w:line="360" w:lineRule="auto"/>
        <w:ind w:firstLine="640" w:firstLineChars="200"/>
        <w:rPr>
          <w:rFonts w:hint="default" w:ascii="仿宋" w:hAnsi="仿宋" w:eastAsia="仿宋"/>
          <w:sz w:val="32"/>
          <w:szCs w:val="24"/>
          <w:lang w:val="zh-CN"/>
        </w:rPr>
      </w:pPr>
      <w:r>
        <w:rPr>
          <w:rFonts w:hint="eastAsia" w:ascii="仿宋" w:hAnsi="仿宋" w:eastAsia="仿宋"/>
          <w:sz w:val="32"/>
          <w:szCs w:val="24"/>
          <w:lang w:val="zh-CN"/>
        </w:rPr>
        <w:t>全县安全生产形式持续稳定，获得了良好的社会效益，使政府、企业、广大群众对我单位项目工作的社会满意度得到了明显提高。</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九、政府性基金预算财政拨款支出决算情况说明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2018年度政府性基金预算财政拨款支出年初预算为</w:t>
      </w:r>
      <w:r>
        <w:rPr>
          <w:rFonts w:hint="default" w:ascii="仿宋" w:hAnsi="仿宋" w:eastAsia="仿宋"/>
          <w:sz w:val="32"/>
          <w:szCs w:val="24"/>
          <w:lang w:val="zh-CN"/>
        </w:rPr>
        <w:t>0</w:t>
      </w:r>
      <w:r>
        <w:rPr>
          <w:rFonts w:hint="eastAsia" w:ascii="仿宋" w:hAnsi="仿宋" w:eastAsia="仿宋"/>
          <w:sz w:val="32"/>
          <w:szCs w:val="24"/>
          <w:lang w:val="zh-CN"/>
        </w:rPr>
        <w:t>万元，支出决算为</w:t>
      </w:r>
      <w:r>
        <w:rPr>
          <w:rFonts w:hint="default" w:ascii="仿宋" w:hAnsi="仿宋" w:eastAsia="仿宋"/>
          <w:sz w:val="32"/>
          <w:szCs w:val="24"/>
          <w:lang w:val="zh-CN"/>
        </w:rPr>
        <w:t>0</w:t>
      </w:r>
      <w:r>
        <w:rPr>
          <w:rFonts w:hint="eastAsia" w:ascii="仿宋" w:hAnsi="仿宋" w:eastAsia="仿宋"/>
          <w:sz w:val="32"/>
          <w:szCs w:val="24"/>
          <w:lang w:val="zh-CN"/>
        </w:rPr>
        <w:t>万元，完成年初预算的0%。</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十、机关运行经费支出情况说明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2018年度机关运行经费初预算为30.46万元，支出决算为39.60万元，完成年初预算的129.97%。决算数与年初预算数存在差异的主要原因是机关运行经费包括基本支出中的机关运行支出和项目支出中的机关运行支出。</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十一、政府采购支出情况说明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2018年度政府采购支出总额</w:t>
      </w:r>
      <w:r>
        <w:rPr>
          <w:rFonts w:hint="default" w:ascii="仿宋" w:hAnsi="仿宋" w:eastAsia="仿宋"/>
          <w:sz w:val="32"/>
          <w:szCs w:val="24"/>
          <w:lang w:val="zh-CN"/>
        </w:rPr>
        <w:t>0</w:t>
      </w:r>
      <w:r>
        <w:rPr>
          <w:rFonts w:hint="eastAsia" w:ascii="仿宋" w:hAnsi="仿宋" w:eastAsia="仿宋"/>
          <w:sz w:val="32"/>
          <w:szCs w:val="24"/>
          <w:lang w:val="zh-CN"/>
        </w:rPr>
        <w:t>万元，其中：政府采购货物支出</w:t>
      </w:r>
      <w:r>
        <w:rPr>
          <w:rFonts w:hint="default" w:ascii="仿宋" w:hAnsi="仿宋" w:eastAsia="仿宋"/>
          <w:sz w:val="32"/>
          <w:szCs w:val="24"/>
          <w:lang w:val="zh-CN"/>
        </w:rPr>
        <w:t>0</w:t>
      </w:r>
      <w:r>
        <w:rPr>
          <w:rFonts w:hint="eastAsia" w:ascii="仿宋" w:hAnsi="仿宋" w:eastAsia="仿宋"/>
          <w:sz w:val="32"/>
          <w:szCs w:val="24"/>
          <w:lang w:val="zh-CN"/>
        </w:rPr>
        <w:t>万元、政府采购工程支出</w:t>
      </w:r>
      <w:r>
        <w:rPr>
          <w:rFonts w:hint="default" w:ascii="仿宋" w:hAnsi="仿宋" w:eastAsia="仿宋"/>
          <w:sz w:val="32"/>
          <w:szCs w:val="24"/>
          <w:lang w:val="zh-CN"/>
        </w:rPr>
        <w:t>0</w:t>
      </w:r>
      <w:r>
        <w:rPr>
          <w:rFonts w:hint="eastAsia" w:ascii="仿宋" w:hAnsi="仿宋" w:eastAsia="仿宋"/>
          <w:sz w:val="32"/>
          <w:szCs w:val="24"/>
          <w:lang w:val="zh-CN"/>
        </w:rPr>
        <w:t>万元、政府采购服务支出</w:t>
      </w:r>
      <w:r>
        <w:rPr>
          <w:rFonts w:hint="default" w:ascii="仿宋" w:hAnsi="仿宋" w:eastAsia="仿宋"/>
          <w:sz w:val="32"/>
          <w:szCs w:val="24"/>
          <w:lang w:val="zh-CN"/>
        </w:rPr>
        <w:t>0</w:t>
      </w:r>
      <w:r>
        <w:rPr>
          <w:rFonts w:hint="eastAsia" w:ascii="仿宋" w:hAnsi="仿宋" w:eastAsia="仿宋"/>
          <w:sz w:val="32"/>
          <w:szCs w:val="24"/>
          <w:lang w:val="zh-CN"/>
        </w:rPr>
        <w:t>万元。授予中小企业合同金额</w:t>
      </w:r>
      <w:r>
        <w:rPr>
          <w:rFonts w:hint="default" w:ascii="仿宋" w:hAnsi="仿宋" w:eastAsia="仿宋"/>
          <w:sz w:val="32"/>
          <w:szCs w:val="24"/>
          <w:lang w:val="zh-CN"/>
        </w:rPr>
        <w:t>0</w:t>
      </w:r>
      <w:r>
        <w:rPr>
          <w:rFonts w:hint="eastAsia" w:ascii="仿宋" w:hAnsi="仿宋" w:eastAsia="仿宋"/>
          <w:sz w:val="32"/>
          <w:szCs w:val="24"/>
          <w:lang w:val="zh-CN"/>
        </w:rPr>
        <w:t>万元，占政府采购支出总额的0%，其中：授予小微企业合同金额</w:t>
      </w:r>
      <w:r>
        <w:rPr>
          <w:rFonts w:hint="default" w:ascii="仿宋" w:hAnsi="仿宋" w:eastAsia="仿宋"/>
          <w:sz w:val="32"/>
          <w:szCs w:val="24"/>
          <w:lang w:val="zh-CN"/>
        </w:rPr>
        <w:t>0</w:t>
      </w:r>
      <w:r>
        <w:rPr>
          <w:rFonts w:hint="eastAsia" w:ascii="仿宋" w:hAnsi="仿宋" w:eastAsia="仿宋"/>
          <w:sz w:val="32"/>
          <w:szCs w:val="24"/>
          <w:lang w:val="zh-CN"/>
        </w:rPr>
        <w:t>万元，占政府采购支出总额的0%。</w:t>
      </w:r>
    </w:p>
    <w:p>
      <w:pPr>
        <w:autoSpaceDE w:val="0"/>
        <w:autoSpaceDN w:val="0"/>
        <w:adjustRightInd w:val="0"/>
        <w:spacing w:beforeLines="0" w:afterLines="0"/>
        <w:ind w:firstLine="640" w:firstLineChars="200"/>
        <w:jc w:val="left"/>
        <w:rPr>
          <w:rFonts w:hint="default" w:ascii="宋体"/>
          <w:kern w:val="0"/>
          <w:sz w:val="32"/>
          <w:szCs w:val="24"/>
          <w:lang w:val="zh-CN"/>
        </w:rPr>
      </w:pPr>
      <w:r>
        <w:rPr>
          <w:rFonts w:hint="eastAsia" w:ascii="宋体" w:hAnsi="宋体" w:cs="宋体"/>
          <w:kern w:val="0"/>
          <w:sz w:val="32"/>
          <w:szCs w:val="24"/>
          <w:lang w:val="zh-CN"/>
        </w:rPr>
        <w:t>十二、国有资产占用情况说明</w:t>
      </w:r>
    </w:p>
    <w:p>
      <w:pPr>
        <w:autoSpaceDE w:val="0"/>
        <w:autoSpaceDN w:val="0"/>
        <w:adjustRightInd w:val="0"/>
        <w:spacing w:beforeLines="0" w:afterLines="0"/>
        <w:ind w:firstLine="640" w:firstLineChars="200"/>
        <w:jc w:val="left"/>
        <w:rPr>
          <w:rFonts w:hint="default" w:ascii="仿宋" w:hAnsi="仿宋" w:eastAsia="仿宋"/>
          <w:sz w:val="32"/>
          <w:szCs w:val="24"/>
          <w:lang w:val="zh-CN"/>
        </w:rPr>
      </w:pPr>
      <w:r>
        <w:rPr>
          <w:rFonts w:hint="eastAsia" w:ascii="仿宋" w:hAnsi="仿宋" w:eastAsia="仿宋"/>
          <w:sz w:val="32"/>
          <w:szCs w:val="24"/>
          <w:lang w:val="zh-CN"/>
        </w:rPr>
        <w:t>2018年期末，我部门共有车辆4辆，其中：省级领导干部用车</w:t>
      </w:r>
      <w:r>
        <w:rPr>
          <w:rFonts w:hint="default" w:ascii="仿宋" w:hAnsi="仿宋" w:eastAsia="仿宋"/>
          <w:sz w:val="32"/>
          <w:szCs w:val="24"/>
          <w:lang w:val="zh-CN"/>
        </w:rPr>
        <w:t>0</w:t>
      </w:r>
      <w:r>
        <w:rPr>
          <w:rFonts w:hint="eastAsia" w:ascii="仿宋" w:hAnsi="仿宋" w:eastAsia="仿宋"/>
          <w:sz w:val="32"/>
          <w:szCs w:val="24"/>
          <w:lang w:val="zh-CN"/>
        </w:rPr>
        <w:t>辆、主要领导干部用车</w:t>
      </w:r>
      <w:r>
        <w:rPr>
          <w:rFonts w:hint="default" w:ascii="仿宋" w:hAnsi="仿宋" w:eastAsia="仿宋"/>
          <w:sz w:val="32"/>
          <w:szCs w:val="24"/>
          <w:lang w:val="zh-CN"/>
        </w:rPr>
        <w:t>0</w:t>
      </w:r>
      <w:r>
        <w:rPr>
          <w:rFonts w:hint="eastAsia" w:ascii="仿宋" w:hAnsi="仿宋" w:eastAsia="仿宋"/>
          <w:sz w:val="32"/>
          <w:szCs w:val="24"/>
          <w:lang w:val="zh-CN"/>
        </w:rPr>
        <w:t>辆、机要通信用车</w:t>
      </w:r>
      <w:r>
        <w:rPr>
          <w:rFonts w:hint="default" w:ascii="仿宋" w:hAnsi="仿宋" w:eastAsia="仿宋"/>
          <w:sz w:val="32"/>
          <w:szCs w:val="24"/>
          <w:lang w:val="zh-CN"/>
        </w:rPr>
        <w:t>0</w:t>
      </w:r>
      <w:r>
        <w:rPr>
          <w:rFonts w:hint="eastAsia" w:ascii="仿宋" w:hAnsi="仿宋" w:eastAsia="仿宋"/>
          <w:sz w:val="32"/>
          <w:szCs w:val="24"/>
          <w:lang w:val="zh-CN"/>
        </w:rPr>
        <w:t>辆、应急保障车</w:t>
      </w:r>
      <w:r>
        <w:rPr>
          <w:rFonts w:hint="default" w:ascii="仿宋" w:hAnsi="仿宋" w:eastAsia="仿宋"/>
          <w:sz w:val="32"/>
          <w:szCs w:val="24"/>
          <w:lang w:val="zh-CN"/>
        </w:rPr>
        <w:t>0</w:t>
      </w:r>
      <w:r>
        <w:rPr>
          <w:rFonts w:hint="eastAsia" w:ascii="仿宋" w:hAnsi="仿宋" w:eastAsia="仿宋"/>
          <w:sz w:val="32"/>
          <w:szCs w:val="24"/>
          <w:lang w:val="zh-CN"/>
        </w:rPr>
        <w:t>辆、执法执勤用车</w:t>
      </w:r>
      <w:r>
        <w:rPr>
          <w:rFonts w:hint="default" w:ascii="仿宋" w:hAnsi="仿宋" w:eastAsia="仿宋"/>
          <w:sz w:val="32"/>
          <w:szCs w:val="24"/>
          <w:lang w:val="zh-CN"/>
        </w:rPr>
        <w:t>0</w:t>
      </w:r>
      <w:r>
        <w:rPr>
          <w:rFonts w:hint="eastAsia" w:ascii="仿宋" w:hAnsi="仿宋" w:eastAsia="仿宋"/>
          <w:sz w:val="32"/>
          <w:szCs w:val="24"/>
          <w:lang w:val="zh-CN"/>
        </w:rPr>
        <w:t>辆、特种专业技术用车</w:t>
      </w:r>
      <w:r>
        <w:rPr>
          <w:rFonts w:hint="default" w:ascii="仿宋" w:hAnsi="仿宋" w:eastAsia="仿宋"/>
          <w:sz w:val="32"/>
          <w:szCs w:val="24"/>
          <w:lang w:val="zh-CN"/>
        </w:rPr>
        <w:t>0</w:t>
      </w:r>
      <w:r>
        <w:rPr>
          <w:rFonts w:hint="eastAsia" w:ascii="仿宋" w:hAnsi="仿宋" w:eastAsia="仿宋"/>
          <w:sz w:val="32"/>
          <w:szCs w:val="24"/>
          <w:lang w:val="zh-CN"/>
        </w:rPr>
        <w:t>辆、离退休干部用车</w:t>
      </w:r>
      <w:r>
        <w:rPr>
          <w:rFonts w:hint="default" w:ascii="仿宋" w:hAnsi="仿宋" w:eastAsia="仿宋"/>
          <w:sz w:val="32"/>
          <w:szCs w:val="24"/>
          <w:lang w:val="zh-CN"/>
        </w:rPr>
        <w:t>0</w:t>
      </w:r>
      <w:r>
        <w:rPr>
          <w:rFonts w:hint="eastAsia" w:ascii="仿宋" w:hAnsi="仿宋" w:eastAsia="仿宋"/>
          <w:sz w:val="32"/>
          <w:szCs w:val="24"/>
          <w:lang w:val="zh-CN"/>
        </w:rPr>
        <w:t>辆、其他用车4辆；单位价值50万元以上通用设备</w:t>
      </w:r>
      <w:r>
        <w:rPr>
          <w:rFonts w:hint="default" w:ascii="仿宋" w:hAnsi="仿宋" w:eastAsia="仿宋"/>
          <w:sz w:val="32"/>
          <w:szCs w:val="24"/>
          <w:lang w:val="zh-CN"/>
        </w:rPr>
        <w:t>0</w:t>
      </w:r>
      <w:r>
        <w:rPr>
          <w:rFonts w:hint="eastAsia" w:ascii="仿宋" w:hAnsi="仿宋" w:eastAsia="仿宋"/>
          <w:sz w:val="32"/>
          <w:szCs w:val="24"/>
          <w:lang w:val="zh-CN"/>
        </w:rPr>
        <w:t>台（套），单位价值100万元以上专用设备</w:t>
      </w:r>
      <w:r>
        <w:rPr>
          <w:rFonts w:hint="default" w:ascii="仿宋" w:hAnsi="仿宋" w:eastAsia="仿宋"/>
          <w:sz w:val="32"/>
          <w:szCs w:val="24"/>
          <w:lang w:val="zh-CN"/>
        </w:rPr>
        <w:t>0</w:t>
      </w:r>
      <w:r>
        <w:rPr>
          <w:rFonts w:hint="eastAsia" w:ascii="仿宋" w:hAnsi="仿宋" w:eastAsia="仿宋"/>
          <w:sz w:val="32"/>
          <w:szCs w:val="24"/>
          <w:lang w:val="zh-CN"/>
        </w:rPr>
        <w:t>台（套）。</w:t>
      </w:r>
    </w:p>
    <w:p>
      <w:pPr>
        <w:widowControl/>
        <w:spacing w:beforeLines="0" w:afterLines="0"/>
        <w:jc w:val="left"/>
        <w:rPr>
          <w:rFonts w:hint="default" w:ascii="楷体_GB2312" w:hAnsi="楷体_GB2312" w:eastAsia="楷体_GB2312"/>
          <w:sz w:val="32"/>
          <w:szCs w:val="24"/>
        </w:rPr>
        <w:sectPr>
          <w:pgSz w:w="11906" w:h="16838"/>
          <w:pgMar w:top="1440" w:right="1800" w:bottom="1440" w:left="1800" w:header="720" w:footer="720" w:gutter="0"/>
          <w:pgNumType w:fmt="numberInDash"/>
          <w:cols w:space="720" w:num="1"/>
          <w:docGrid w:type="lines" w:linePitch="312" w:charSpace="0"/>
        </w:sect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left"/>
        <w:rPr>
          <w:rFonts w:hint="default" w:ascii="黑体" w:hAnsi="黑体" w:eastAsia="黑体"/>
          <w:sz w:val="32"/>
          <w:szCs w:val="24"/>
        </w:rPr>
      </w:pPr>
    </w:p>
    <w:p>
      <w:pPr>
        <w:spacing w:beforeLines="0" w:afterLines="0"/>
        <w:jc w:val="center"/>
        <w:rPr>
          <w:rFonts w:hint="default" w:ascii="黑体" w:hAnsi="黑体" w:eastAsia="黑体"/>
          <w:sz w:val="48"/>
          <w:szCs w:val="24"/>
        </w:rPr>
      </w:pPr>
      <w:r>
        <w:rPr>
          <w:rFonts w:hint="eastAsia" w:ascii="黑体" w:hAnsi="黑体" w:eastAsia="黑体"/>
          <w:sz w:val="48"/>
          <w:szCs w:val="24"/>
        </w:rPr>
        <w:t>第四部分　　名词解释</w:t>
      </w:r>
    </w:p>
    <w:p>
      <w:pPr>
        <w:spacing w:beforeLines="0" w:afterLines="0"/>
        <w:jc w:val="center"/>
        <w:outlineLvl w:val="0"/>
        <w:rPr>
          <w:rFonts w:hint="default" w:ascii="黑体" w:hAnsi="黑体" w:eastAsia="黑体"/>
          <w:sz w:val="48"/>
          <w:szCs w:val="24"/>
        </w:rPr>
      </w:pPr>
    </w:p>
    <w:p>
      <w:pPr>
        <w:spacing w:beforeLines="0" w:afterLines="0"/>
        <w:jc w:val="center"/>
        <w:outlineLvl w:val="0"/>
        <w:rPr>
          <w:rFonts w:hint="default" w:ascii="黑体" w:hAnsi="黑体" w:eastAsia="黑体"/>
          <w:sz w:val="48"/>
          <w:szCs w:val="24"/>
        </w:rPr>
        <w:sectPr>
          <w:pgSz w:w="11906" w:h="16838"/>
          <w:pgMar w:top="1440" w:right="1531" w:bottom="1440" w:left="1587" w:header="850" w:footer="992" w:gutter="0"/>
          <w:pgNumType w:fmt="numberInDash"/>
          <w:cols w:space="720" w:num="1"/>
          <w:docGrid w:type="lines" w:linePitch="317" w:charSpace="0"/>
        </w:sectPr>
      </w:pP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一、财政拨款收入：单位从同级政府财政部门取得的各类财政拨款。</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二、事业收入：事业单位开展专业业务活动及其辅助活动取得的收入。</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三、上级补助收入：事业单位从主管部门和上级单位取得的非财政补助收入。</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四、附属单位上缴收入：事业单位取得附属独立核算单位根据有关规定上缴的收入。</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五、经营收入：事业单位在专业业务活动及其辅助活动之外开展非独立核算经营活动取得的收入。</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六、其他收入：单位取得的除“财政拨款收入”、“事业收入”、“上级补助收入”、“附属单位上缴收入”、“经营收入”等以外的收入。</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八、基本支出：为保障机构正常运转、完成日常工作任务而发生的人员支出和公用支出。</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九、项目支出：基本支出之外为完成特定行政任务和事业发展目标所发生的支出。</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十二、工资福利支出：单位支付给在职职工和编制外长期聘用人员的各类劳动报酬，以及为上述人员缴纳的各项社会保险费等。</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十三、商品和服务支出：单位购买商品和服务的支出。</w:t>
      </w:r>
    </w:p>
    <w:p>
      <w:pPr>
        <w:widowControl/>
        <w:spacing w:beforeLines="0" w:afterLines="0" w:line="590" w:lineRule="exact"/>
        <w:ind w:firstLine="640" w:firstLineChars="200"/>
        <w:jc w:val="left"/>
        <w:rPr>
          <w:rFonts w:hint="default" w:ascii="仿宋_GB2312" w:hAnsi="仿宋_GB2312" w:eastAsia="仿宋_GB2312"/>
          <w:sz w:val="32"/>
          <w:szCs w:val="24"/>
        </w:rPr>
      </w:pPr>
      <w:r>
        <w:rPr>
          <w:rFonts w:hint="eastAsia" w:ascii="仿宋_GB2312" w:hAnsi="仿宋_GB2312" w:eastAsia="仿宋_GB2312"/>
          <w:sz w:val="32"/>
          <w:szCs w:val="24"/>
        </w:rPr>
        <w:t>十四、对个人和家庭的补助支出：单位用于对个人和家庭的补助支出。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eastAsia="Times New Roman"/>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spacing w:beforeLines="0" w:afterLines="0"/>
                            <w:rPr>
                              <w:rFonts w:hint="default" w:eastAsia="Times New Roman"/>
                              <w:sz w:val="21"/>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BU+a0AAAAAMBAAAPAAAAAAAAAAEAIAAAACIAAABkcnMvZG93bnJl&#10;di54bWxQSwECFAAUAAAACACHTuJA3L/mrcwBAACXAwAADgAAAAAAAAABACAAAAAfAQAAZHJzL2Uy&#10;b0RvYy54bWxQSwUGAAAAAAYABgBZAQAAXQUAAAAA&#10;">
              <v:path/>
              <v:fill on="f" focussize="0,0"/>
              <v:stroke on="f"/>
              <v:imagedata o:title=""/>
              <o:lock v:ext="edit" aspectratio="f"/>
              <v:textbox inset="0mm,0mm,0mm,0mm" style="mso-fit-shape-to-text:t;">
                <w:txbxContent>
                  <w:p>
                    <w:pPr>
                      <w:spacing w:beforeLines="0" w:afterLines="0"/>
                      <w:rPr>
                        <w:rFonts w:hint="default" w:eastAsia="Times New Roman"/>
                        <w:sz w:val="21"/>
                        <w:szCs w:val="2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multilevel"/>
    <w:tmpl w:val="5971BE17"/>
    <w:lvl w:ilvl="0" w:tentative="0">
      <w:start w:val="1"/>
      <w:numFmt w:val="chineseCounting"/>
      <w:suff w:val="nothing"/>
      <w:lvlText w:val="%1、"/>
      <w:lvlJc w:val="left"/>
      <w:rPr>
        <w:rFonts w:hint="default" w:ascii="Times New Roman" w:hAnsi="Calibri" w:eastAsia="宋体"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D7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Lines="0" w:afterLines="0"/>
      <w:jc w:val="left"/>
    </w:pPr>
    <w:rPr>
      <w:rFonts w:hint="eastAsia"/>
      <w:sz w:val="18"/>
      <w:szCs w:val="24"/>
    </w:rPr>
  </w:style>
  <w:style w:type="paragraph" w:styleId="3">
    <w:name w:val="Normal (Web)"/>
    <w:basedOn w:val="1"/>
    <w:unhideWhenUsed/>
    <w:qFormat/>
    <w:uiPriority w:val="99"/>
    <w:pPr>
      <w:widowControl/>
      <w:spacing w:before="100" w:beforeLines="0" w:beforeAutospacing="1" w:after="100" w:afterLines="0" w:afterAutospacing="1"/>
      <w:jc w:val="left"/>
    </w:pPr>
    <w:rPr>
      <w:rFonts w:hint="eastAsia" w:ascii="宋体" w:hAnsi="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婴幼儿纸尿裤批发零售</cp:lastModifiedBy>
  <dcterms:modified xsi:type="dcterms:W3CDTF">2021-06-10T03:16:04Z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8DA77000DBD74D0D88D744F8900DCEEA</vt:lpwstr>
  </property>
</Properties>
</file>