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rPr>
          <w:rFonts w:hint="eastAsia" w:ascii="仿宋" w:hAnsi="仿宋" w:eastAsia="仿宋"/>
          <w:color w:val="auto"/>
          <w:sz w:val="21"/>
          <w:szCs w:val="21"/>
        </w:rPr>
      </w:pPr>
    </w:p>
    <w:p>
      <w:pPr>
        <w:pStyle w:val="3"/>
        <w:ind w:left="0" w:leftChars="0" w:firstLine="0" w:firstLineChars="0"/>
        <w:rPr>
          <w:rFonts w:hint="eastAsia" w:ascii="仿宋" w:hAnsi="仿宋" w:eastAsia="仿宋"/>
          <w:color w:val="auto"/>
          <w:sz w:val="21"/>
          <w:szCs w:val="21"/>
        </w:rPr>
      </w:pPr>
    </w:p>
    <w:p>
      <w:pPr>
        <w:pStyle w:val="3"/>
        <w:ind w:left="0" w:leftChars="0" w:firstLine="0" w:firstLineChars="0"/>
        <w:rPr>
          <w:rFonts w:hint="eastAsia" w:ascii="仿宋" w:hAnsi="仿宋" w:eastAsia="仿宋"/>
          <w:color w:val="auto"/>
          <w:sz w:val="21"/>
          <w:szCs w:val="21"/>
        </w:rPr>
      </w:pPr>
    </w:p>
    <w:p>
      <w:pPr>
        <w:pStyle w:val="3"/>
        <w:ind w:left="0" w:leftChars="0" w:firstLine="0" w:firstLineChars="0"/>
        <w:rPr>
          <w:rFonts w:hint="default" w:ascii="仿宋" w:hAnsi="仿宋" w:eastAsia="仿宋"/>
          <w:color w:val="auto"/>
          <w:sz w:val="21"/>
          <w:szCs w:val="21"/>
          <w:lang w:val="en-US" w:eastAsia="zh-CN"/>
        </w:rPr>
      </w:pPr>
      <w:r>
        <w:rPr>
          <w:rFonts w:hint="eastAsia" w:ascii="仿宋" w:hAnsi="仿宋" w:eastAsia="仿宋"/>
          <w:color w:val="auto"/>
          <w:sz w:val="21"/>
          <w:szCs w:val="21"/>
          <w:lang w:val="en-US" w:eastAsia="zh-CN"/>
        </w:rPr>
        <w:t xml:space="preserve">  </w:t>
      </w:r>
    </w:p>
    <w:p>
      <w:pPr>
        <w:pStyle w:val="3"/>
        <w:ind w:left="0" w:leftChars="0" w:firstLine="0" w:firstLineChars="0"/>
        <w:rPr>
          <w:rFonts w:hint="eastAsia" w:ascii="仿宋" w:hAnsi="仿宋" w:eastAsia="仿宋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仿宋" w:hAnsi="仿宋" w:eastAsia="仿宋"/>
          <w:color w:val="auto"/>
          <w:sz w:val="36"/>
          <w:szCs w:val="36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仿宋" w:hAnsi="仿宋" w:eastAsia="仿宋"/>
          <w:color w:val="auto"/>
          <w:sz w:val="36"/>
          <w:szCs w:val="36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仿宋" w:hAnsi="仿宋" w:eastAsia="仿宋"/>
          <w:color w:val="auto"/>
          <w:sz w:val="36"/>
          <w:szCs w:val="36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仿宋" w:hAnsi="仿宋" w:eastAsia="仿宋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6"/>
          <w:szCs w:val="36"/>
        </w:rPr>
        <w:t>延政数〔20</w:t>
      </w:r>
      <w:r>
        <w:rPr>
          <w:rFonts w:hint="eastAsia" w:ascii="仿宋_GB2312" w:hAnsi="仿宋_GB2312" w:eastAsia="仿宋_GB2312" w:cs="仿宋_GB2312"/>
          <w:color w:val="auto"/>
          <w:sz w:val="36"/>
          <w:szCs w:val="36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auto"/>
          <w:sz w:val="36"/>
          <w:szCs w:val="36"/>
        </w:rPr>
        <w:t>〕</w:t>
      </w:r>
      <w:r>
        <w:rPr>
          <w:rFonts w:hint="eastAsia" w:ascii="仿宋_GB2312" w:hAnsi="仿宋_GB2312" w:eastAsia="仿宋_GB2312" w:cs="仿宋_GB2312"/>
          <w:color w:val="auto"/>
          <w:sz w:val="36"/>
          <w:szCs w:val="36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6"/>
          <w:szCs w:val="36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仿宋" w:hAnsi="仿宋" w:eastAsia="仿宋"/>
          <w:color w:val="auto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bCs/>
          <w:color w:val="000000" w:themeColor="text1"/>
          <w:spacing w:val="1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hAnsi="方正大标宋简体" w:eastAsia="方正大标宋简体" w:cs="方正大标宋简体"/>
          <w:b w:val="0"/>
          <w:bCs/>
          <w:color w:val="000000" w:themeColor="text1"/>
          <w:spacing w:val="1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延津县政务服务和大数据管理局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jc w:val="center"/>
        <w:textAlignment w:val="auto"/>
        <w:rPr>
          <w:rFonts w:hint="eastAsia" w:ascii="方正大标宋简体" w:hAnsi="仿宋" w:eastAsia="方正大标宋简体"/>
          <w:color w:val="000000" w:themeColor="text1"/>
          <w:spacing w:val="1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hAnsi="仿宋" w:eastAsia="方正大标宋简体"/>
          <w:color w:val="000000" w:themeColor="text1"/>
          <w:spacing w:val="1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方正大标宋简体" w:hAnsi="方正大标宋简体" w:eastAsia="方正大标宋简体" w:cs="方正大标宋简体"/>
          <w:b w:val="0"/>
          <w:bCs/>
          <w:color w:val="000000" w:themeColor="text1"/>
          <w:spacing w:val="1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做好政务服务“好差评”工作的通知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0" w:firstLineChars="0"/>
        <w:jc w:val="center"/>
        <w:textAlignment w:val="auto"/>
        <w:rPr>
          <w:rFonts w:hint="default" w:ascii="方正大标宋简体" w:hAnsi="仿宋" w:eastAsia="方正大标宋简体"/>
          <w:color w:val="000000" w:themeColor="text1"/>
          <w:spacing w:val="1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局各股室、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val="en-US" w:eastAsia="zh-CN" w:bidi="ar"/>
        </w:rPr>
        <w:t>县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行政服务中心、各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val="en-US" w:eastAsia="zh-CN" w:bidi="ar"/>
        </w:rPr>
        <w:t>进驻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窗口：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为深入推进政府职能转变和“放管服”改革，进一步提升政务服务水平，根据《河南省政务服务“好差评”工作制度》文件精神和要求，持续推进“一网通办”从“以部门为中心”向“以用户为中心”转变，建立政务服务绩效由企业和群众来评判的“好差评”制度，倒逼政务服务部门不断改进工作，提供优质高效的政务服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>　　</w:t>
      </w:r>
      <w:r>
        <w:rPr>
          <w:rFonts w:hint="eastAsia" w:ascii="黑体" w:hAnsi="黑体" w:eastAsia="黑体" w:cs="黑体"/>
          <w:color w:val="000000"/>
          <w:spacing w:val="10"/>
          <w:kern w:val="0"/>
          <w:sz w:val="32"/>
          <w:szCs w:val="32"/>
          <w:lang w:bidi="ar"/>
        </w:rPr>
        <w:t>一、总体要求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>　　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按照“利企便民、全面覆盖、统一规范、公开透明”的原则，实现接入“一网通办”的政务服务事项全覆盖，实体窗口和线上服务门户等各类政务服务渠道全覆盖，提供政务服务的政府部门全覆盖。建立完善“好差评”评价、反馈、整改、监督全流程闭环工作机制，对企业群众办事中的差评和堵点痛点问题及时处理整改并反馈，持续提升政务服务质量和效率，努力建设人民满意的服务型政府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黑体" w:hAnsi="黑体" w:eastAsia="黑体" w:cs="黑体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pacing w:val="10"/>
          <w:kern w:val="0"/>
          <w:sz w:val="32"/>
          <w:szCs w:val="32"/>
          <w:lang w:bidi="ar"/>
        </w:rPr>
        <w:t>政务服务 “好差评”内容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主要是指办事企业和群众对政务服务部门、单位及其工作人员在提供政务服务过程中的承诺履行、服务态度、申请材料、办事效率、跑趟次数、服务机制、勤政廉洁等方面进行的评价。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黑体" w:hAnsi="黑体" w:eastAsia="黑体" w:cs="黑体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pacing w:val="10"/>
          <w:kern w:val="0"/>
          <w:sz w:val="32"/>
          <w:szCs w:val="32"/>
          <w:lang w:bidi="ar"/>
        </w:rPr>
        <w:t>三、构建政务服务“好差评”评价体系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（一）实现政务服务评价全覆盖。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服务事项全覆盖，接入“一网通办”的所有政务服务事项全部纳入“好差评”评价范围。服务渠道全覆盖，包括线下实体窗口、线上服务门户、移动端、服务热线、自助终端等各类政务服务渠道，逐步将各部门原有的满意度评价纳入“好差评”。评价对象全覆盖，提供政务服务的单位和各级政务服务窗口均作为“好差评”评价对象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（二）科学设置“好差评”指标。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依据国家标准，强化政务服务机构、平台管理服务标准化建设。对接国家、省“好差评”评价标准，结合“一网通办”改革目标，制定政务服务事项管理、办事流程、服务效率、服务水平、服务态度、便捷性等政务服务评价指标，构建覆盖线上、线下政务服务工作全部内容和全部过程的全方位、多角度评价指标体系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（三）开展政务服务评价。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企业和群众可在办理各类政务服务的任何办理环节进行在线评价；在所有线下实体窗口配置政务服务“好差评”终端、二维码等进行评价，评价内容包括实体大厅服务情况和具体事项办理情况两个方面。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（四）做好评价数据归集。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按照“好差评”工作要求，做好相关系统配套改造工作，将评价数据统一归集到“一网通办”“好差评”平台。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>　</w:t>
      </w:r>
      <w:r>
        <w:rPr>
          <w:rFonts w:hint="eastAsia" w:ascii="黑体" w:hAnsi="黑体" w:eastAsia="黑体" w:cs="黑体"/>
          <w:color w:val="000000"/>
          <w:spacing w:val="10"/>
          <w:kern w:val="0"/>
          <w:sz w:val="32"/>
          <w:szCs w:val="32"/>
          <w:lang w:bidi="ar"/>
        </w:rPr>
        <w:t>　四、建立整改、反馈、监督工作机制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（一）建立健全整改和反馈机制。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县政务服务和大数据管理局负责做好县政务服务“好差评”的协调、督办和检查工作。“好差评”反映的问题，各承办单位应及时回应整改。对于“差评”能够及时解决的要立即解决。不能及时解决的，要按照“1、5、10”时限要求，进行回复和整改，即在1个工作日内，先行联系反映问题的企业群众，沟通了解情况；对确实存在问题的，在5个工作日内完成整改反馈；较为复杂的，要在10个工作日内办结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（二）强化综合分析整改。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要跟踪、分析政务服务评价情况，将“好差评”反映的问题作为优化办事流程、动态调整办事指南的重要参考依据。对企业群众反映强烈、“差评”集中的问题，要及时调查，采取措施，督促限期整改，推动问题解决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（三）开展差评问题整改回访。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对已办结的“差评”，采取调查回访进行满意度测评。对应解决而未解决、谎报瞒报等问题，随时采取抽查、调阅档案、实地察看、电话回访等方法督查。定期汇总并通报“差评”问题办结情况。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（四）保障评价数据安全准确。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建立“好差评”评价数据安全保障机制，确保企业群众信息保密、安全，统计分析结果自动生成、不可更改。及时查处弄虚作假刷“好评”和恶意“差评”的行为，确保“好差评”结果客观、真实、准确。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pacing w:val="10"/>
          <w:kern w:val="0"/>
          <w:sz w:val="32"/>
          <w:szCs w:val="32"/>
          <w:lang w:bidi="ar"/>
        </w:rPr>
        <w:t xml:space="preserve">    五、有关要求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（一）加强组织领导。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县政务服务和大数据管理局负责我县“好差评”工作组织实施。结合工作实际，明确责任，细化分工，强化督促检查，扎实推进各项工作落实。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（二）完善相关制度。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局机关要完善政务服务“好差评”配套制度规定，加强与既有的政务服务满意度测评、绩效评价、营商环境评价、投诉处理等相关制度整合衔接，避免重复评价、多头处理。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>　　</w:t>
      </w: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（三）加大宣传推广力度。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充分利用各类媒体介质，有针对性、多渠道地开展宣传，提升企业群众对“好差评”工作的知晓度、认可度、参与度。加强线上线下引导，服务窗口要主动引导企业群众对“一网通办”政务服务进行“好差评”。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2"/>
          <w:szCs w:val="32"/>
          <w:lang w:bidi="ar"/>
        </w:rPr>
        <w:t>（四）政务服务“好差评”结果作为县政务服务和大数据局机关年度目标考核、个人绩效考核和评先评优的重要依据。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附件：河南省政务服务“好差评”工作制度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eastAsia="zh-CN" w:bidi="ar"/>
        </w:rPr>
        <w:t>（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val="en-US" w:eastAsia="zh-CN" w:bidi="ar"/>
        </w:rPr>
        <w:t>试行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eastAsia="zh-CN" w:bidi="ar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               延津县政务服务和大数据管理局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                    2020年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月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val="en-US" w:eastAsia="zh-CN" w:bidi="ar"/>
        </w:rPr>
        <w:t>27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eastAsia="zh-CN" w:bidi="ar"/>
        </w:rPr>
        <w:t>附件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spacing w:val="10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color w:val="000000"/>
          <w:spacing w:val="10"/>
          <w:kern w:val="0"/>
          <w:sz w:val="44"/>
          <w:szCs w:val="44"/>
          <w:lang w:bidi="ar"/>
        </w:rPr>
        <w:t>河南省政务服务“好差评”工作制度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楷体_GB2312" w:hAnsi="楷体_GB2312" w:eastAsia="楷体_GB2312" w:cs="楷体_GB2312"/>
          <w:color w:val="000000"/>
          <w:spacing w:val="10"/>
          <w:kern w:val="0"/>
          <w:sz w:val="36"/>
          <w:szCs w:val="36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pacing w:val="10"/>
          <w:kern w:val="0"/>
          <w:sz w:val="36"/>
          <w:szCs w:val="36"/>
          <w:lang w:bidi="ar"/>
        </w:rPr>
        <w:t>(试行)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楷体_GB2312" w:hAnsi="楷体_GB2312" w:eastAsia="楷体_GB2312" w:cs="楷体_GB2312"/>
          <w:color w:val="000000"/>
          <w:spacing w:val="10"/>
          <w:kern w:val="0"/>
          <w:sz w:val="44"/>
          <w:szCs w:val="44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" w:hAnsi="仿宋" w:eastAsia="仿宋" w:cs="仿宋"/>
          <w:spacing w:val="1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第一条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 为深入贯彻落实2019年国务院政府工作报告关于建立政务服务“好差评”制度的部署，进一步提升政务服务水平，持续优化营商环境，结合我省实际，制定本制度。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" w:hAnsi="仿宋" w:eastAsia="仿宋" w:cs="仿宋"/>
          <w:spacing w:val="1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第二条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本制度所称政务服务“好差评”，主要是指办事企业和群众对政务服务部门、单位及其工作人员在提供政务服务过程中的承诺履行、服务态度、申请材料、办事效率、跑趟次数、服务机制、勤政廉洁等方面进行的评价。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第三条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 政务服务“好差评”要实现政务服务事项全覆盖，线上线下各类政务服务渠道全覆盖,提供政务服务的部门、单位全覆盖。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第四条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省政务服务平台统一建设政务服务“好差评”系统，各级各部门通过调用省政务服务平台“好差评”系统的评价功能，提供在线或现场评价服务。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第五条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各级政务服务管理机构要会同有关部门畅通政务服务评价渠道，统筹整合电脑、短信、APP (应用程序)、微信小程序、二维码扫码、实体政务大厅评价设备和自助终端等多渠道评价途径，确保办事企业和群众能够对政务服务行为进行及时有效评价。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第六条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办事企业和群众开展政务服务“好差评”实行实名制，以便对评价意见进行核实确认或回访。各级各部门工作人员应对评价人员信息保密,未经当事人允许，不得泄露评价人信息，不得骚扰、打击报复参与评价的办事企业和群众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第七条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政务服务“好差评”按一次政务服务可评价一次的原则，采取综合评价和分项评价相结合的方式进行，评价等级分为“非常满意”“满意”“基本满意”“不满意”“非常不满意”五个档次。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" w:hAnsi="仿宋" w:eastAsia="仿宋" w:cs="仿宋"/>
          <w:spacing w:val="1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第八条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 各级政务服务管理机构要建立问题复核机制，对办事企业和群众反映的问题进行核查，具体分析原因，经查实为恶意差评的视为无效评价。若办件生成7个自然日内未获评价，评价结果默认为“基本满意”。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第九条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 各级各部门对“好差评”系统反映的问题要及时回应整改。对评价为“不满意”和“非常不满意”的差评办件并经查实的，应在15个自然日内进行整改，在期限内无法整改的，应说明理由和整改期限。各级各部门要在整改期限内，将整改结果通过网上政务服务平台、移动端用户中心、短信等方式向评价用户反馈，整改及反馈情况同步报送省政务服务平台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83" w:firstLineChars="200"/>
        <w:jc w:val="left"/>
        <w:textAlignment w:val="auto"/>
        <w:rPr>
          <w:rFonts w:hint="eastAsia" w:ascii="仿宋_GB2312" w:hAnsi="仿宋_GB2312" w:eastAsia="仿宋_GB2312" w:cs="仿宋_GB2312"/>
          <w:spacing w:val="1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第十条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 各级政务服务管理机构要定期汇总本级各部门差评问题办结情况，采取抽查、调阅档案、实地察看、电话回访等方法进行监督检查。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8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第十一条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各级各部门对企业群众反映强烈、差评集中的问题要进行分析，及时调查、找准根源、采取措施、限期整改，推动问题解决，实现差评办件和相关共性问题“双归零”。要跟踪分析本地、本部门政务服务评价情况，将“好差评”反映的问题作为优化办事流程、动态调整办事指南的重要参考依据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83" w:firstLineChars="200"/>
        <w:jc w:val="left"/>
        <w:textAlignment w:val="auto"/>
        <w:rPr>
          <w:rFonts w:hint="eastAsia" w:ascii="仿宋" w:hAnsi="仿宋" w:eastAsia="仿宋" w:cs="仿宋"/>
          <w:spacing w:val="1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第十二条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 政务服务“好差评”评价结果通过河南政务服务网等相关平台进行对外公示，接受办事企业、群众以及新闻媒体、社会各界的监督。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83" w:firstLineChars="200"/>
        <w:jc w:val="left"/>
        <w:textAlignment w:val="auto"/>
        <w:rPr>
          <w:rFonts w:hint="eastAsia" w:ascii="仿宋" w:hAnsi="仿宋" w:eastAsia="仿宋" w:cs="仿宋"/>
          <w:b/>
          <w:bCs/>
          <w:spacing w:val="1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第十三条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 xml:space="preserve"> 各级各部门要将政务服务“好差评”情况作为年度目标考核、个人绩效考核、政务服务各类考核评价、第三方评估的重要指标和内容。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83" w:firstLineChars="200"/>
        <w:jc w:val="left"/>
        <w:textAlignment w:val="auto"/>
        <w:rPr>
          <w:rFonts w:hint="eastAsia" w:ascii="仿宋" w:hAnsi="仿宋" w:eastAsia="仿宋" w:cs="仿宋"/>
          <w:spacing w:val="1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第十四条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各级政务服务管理机构应将评价结果落后的行业、区域、部门、工作人员列为重点监督对象，并要求政务服务部门提出整改措施，限期整改。对长期服务评价靠后的工作人员，经教育无明显改善的，部门要限期调换，对造成不良影响的，要按照相关规定严肃追责问责。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83" w:firstLineChars="200"/>
        <w:textAlignment w:val="auto"/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0"/>
          <w:kern w:val="0"/>
          <w:sz w:val="32"/>
          <w:szCs w:val="32"/>
          <w:lang w:bidi="ar"/>
        </w:rPr>
        <w:t>第十五条</w:t>
      </w:r>
      <w:r>
        <w:rPr>
          <w:rFonts w:hint="eastAsia" w:ascii="仿宋" w:hAnsi="仿宋" w:eastAsia="仿宋" w:cs="仿宋"/>
          <w:color w:val="000000"/>
          <w:spacing w:val="10"/>
          <w:kern w:val="0"/>
          <w:sz w:val="32"/>
          <w:szCs w:val="32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pacing w:val="10"/>
          <w:kern w:val="0"/>
          <w:sz w:val="32"/>
          <w:szCs w:val="32"/>
          <w:lang w:bidi="ar"/>
        </w:rPr>
        <w:t>本制度自印发之日起施行。</w:t>
      </w:r>
    </w:p>
    <w:p>
      <w:pPr>
        <w:pStyle w:val="2"/>
      </w:pPr>
    </w:p>
    <w:p>
      <w:pPr>
        <w:pStyle w:val="2"/>
      </w:pPr>
    </w:p>
    <w:p>
      <w:pPr>
        <w:pStyle w:val="2"/>
      </w:pPr>
      <w:bookmarkStart w:id="0" w:name="_GoBack"/>
      <w:bookmarkEnd w:id="0"/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eastAsia"/>
          <w:color w:val="auto"/>
          <w:lang w:val="en-US" w:eastAsia="zh-CN"/>
        </w:rPr>
      </w:pPr>
      <w:r>
        <w:rPr>
          <w:color w:val="auto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396240</wp:posOffset>
                </wp:positionV>
                <wp:extent cx="582866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86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31.2pt;height:0pt;width:458.95pt;z-index:251659264;mso-width-relative:page;mso-height-relative:page;" filled="f" stroked="t" coordsize="21600,21600" o:gfxdata="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/VtAb1wAAAAkBAAAPAAAAAAAAAAEAIAAAACIAAABkcnMvZG93bnJldi54bWxQSwEC&#10;FAAUAAAACACHTuJADEmoFPUBAADk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4365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49.95pt;z-index:251660288;mso-width-relative:page;mso-height-relative:page;" filled="f" stroked="t" coordsize="21600,21600" o:gfxdata="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j/c4tIAAAACAQAADwAAAAAAAAABACAAAAAiAAAAZHJzL2Rvd25yZXYueG1sUEsBAhQAFAAA&#10;AAgAh07iQL4CFmn1AQAA5AMAAA4AAAAAAAAAAQAgAAAAIQ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14300" cy="63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0pt;height:0.05pt;width:9pt;z-index:251661312;mso-width-relative:page;mso-height-relative:page;" filled="f" stroked="t" coordsize="21600,21600" o:gfxdata="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y4SPNNEAAAACAQAADwAAAAAAAAABACAAAAAiAAAAZHJzL2Rvd25yZXYueG1sUEsBAhQAFAAA&#10;AAgAh07iQPYT1A72AQAA5QMAAA4AAAAAAAAAAQAgAAAAIA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color w:val="auto"/>
          <w:sz w:val="30"/>
          <w:szCs w:val="30"/>
        </w:rPr>
        <w:t xml:space="preserve">延津县政务服务和大数据管理局办公室     </w:t>
      </w:r>
      <w:r>
        <w:rPr>
          <w:rFonts w:hint="eastAsia" w:ascii="仿宋_GB2312" w:eastAsia="仿宋_GB2312"/>
          <w:color w:val="auto"/>
          <w:position w:val="2"/>
          <w:sz w:val="30"/>
          <w:szCs w:val="30"/>
          <w:lang w:val="en-US" w:eastAsia="zh-CN"/>
        </w:rPr>
        <w:t>2020</w:t>
      </w:r>
      <w:r>
        <w:rPr>
          <w:rFonts w:hint="eastAsia" w:ascii="仿宋_GB2312" w:eastAsia="仿宋_GB2312"/>
          <w:color w:val="auto"/>
          <w:position w:val="2"/>
          <w:sz w:val="30"/>
          <w:szCs w:val="30"/>
        </w:rPr>
        <w:t>年</w:t>
      </w:r>
      <w:r>
        <w:rPr>
          <w:rFonts w:hint="eastAsia" w:ascii="仿宋_GB2312" w:eastAsia="仿宋_GB2312"/>
          <w:color w:val="auto"/>
          <w:position w:val="2"/>
          <w:sz w:val="30"/>
          <w:szCs w:val="30"/>
          <w:lang w:val="en-US" w:eastAsia="zh-CN"/>
        </w:rPr>
        <w:t>3</w:t>
      </w:r>
      <w:r>
        <w:rPr>
          <w:rFonts w:hint="eastAsia" w:ascii="仿宋_GB2312" w:eastAsia="仿宋_GB2312"/>
          <w:color w:val="auto"/>
          <w:position w:val="2"/>
          <w:sz w:val="30"/>
          <w:szCs w:val="30"/>
        </w:rPr>
        <w:t>月</w:t>
      </w:r>
      <w:r>
        <w:rPr>
          <w:rFonts w:hint="eastAsia" w:ascii="仿宋_GB2312" w:eastAsia="仿宋_GB2312"/>
          <w:color w:val="auto"/>
          <w:position w:val="2"/>
          <w:sz w:val="30"/>
          <w:szCs w:val="30"/>
          <w:lang w:val="en-US" w:eastAsia="zh-CN"/>
        </w:rPr>
        <w:t>27</w:t>
      </w:r>
      <w:r>
        <w:rPr>
          <w:rFonts w:hint="eastAsia" w:ascii="仿宋_GB2312" w:eastAsia="仿宋_GB2312"/>
          <w:color w:val="auto"/>
          <w:position w:val="2"/>
          <w:sz w:val="30"/>
          <w:szCs w:val="30"/>
        </w:rPr>
        <w:t>日印发</w:t>
      </w:r>
    </w:p>
    <w:sectPr>
      <w:footerReference r:id="rId4" w:type="default"/>
      <w:pgSz w:w="11906" w:h="16838"/>
      <w:pgMar w:top="2211" w:right="1531" w:bottom="1871" w:left="1531" w:header="851" w:footer="992" w:gutter="0"/>
      <w:pgNumType w:fmt="numberInDash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263423-594E-44C2-86BA-ACEA9F3A741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F8E7E00-3583-4522-A586-4C48E7118E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94352D5-5CD7-4F33-9A61-D49D238FF78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AE6A77C-35F5-491C-967B-4D6459A82B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54655A0-0875-4ECE-923F-F932192CF38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736306E-8778-44E1-9054-3A11E41C7C5B}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D743383-6716-496C-88D2-C1F2B75890B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8F4B06A-3265-4816-978C-4B996DA9326D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C857841-5FC6-4EBB-A286-F8006A7BC20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EB4F9EEF-F3DA-42CC-9911-0AF35CE409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848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tkm6skBAACb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G2Sbq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fnvsskBAACb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+e+y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xjdksg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hS4rjFiV9+/rj8+nP5/Z2g&#10;DwXqA9SYdx8wMw3v/IDJsx/QmXkPKtr8RUYE4yjv+SqvHBIR+dF6tV5XGBIYmy+Izx6ehwjpvfSW&#10;ZKOhEedXZOWnj5DG1DklV3P+ThtTZmjcPw7EzB6Wex97zFYa9sNEaO/bM/LpcfQNdbjplJgPDpXN&#10;WzIbcTb2s3EMUR+6ska5HoTbY8ImSm+5wgg7FcaZFXbTfuWleHwvWQ//1PY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cY3ZL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W9Eb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690D5E"/>
    <w:multiLevelType w:val="singleLevel"/>
    <w:tmpl w:val="22690D5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020328"/>
    <w:rsid w:val="06766A57"/>
    <w:rsid w:val="073D1BED"/>
    <w:rsid w:val="07FB6C7D"/>
    <w:rsid w:val="08FB3F91"/>
    <w:rsid w:val="0D9A2248"/>
    <w:rsid w:val="0DD270FD"/>
    <w:rsid w:val="11FB5E2F"/>
    <w:rsid w:val="15741509"/>
    <w:rsid w:val="1E093CC5"/>
    <w:rsid w:val="1FA41A56"/>
    <w:rsid w:val="28804B71"/>
    <w:rsid w:val="28B756B1"/>
    <w:rsid w:val="2D5E708B"/>
    <w:rsid w:val="338F71CB"/>
    <w:rsid w:val="33D032FC"/>
    <w:rsid w:val="35BD28AF"/>
    <w:rsid w:val="37020328"/>
    <w:rsid w:val="39126B8A"/>
    <w:rsid w:val="3DBB56B9"/>
    <w:rsid w:val="416D6C62"/>
    <w:rsid w:val="429F5310"/>
    <w:rsid w:val="42FB009A"/>
    <w:rsid w:val="48C92CD5"/>
    <w:rsid w:val="4AC73F05"/>
    <w:rsid w:val="4C564B64"/>
    <w:rsid w:val="4CAE582A"/>
    <w:rsid w:val="59287937"/>
    <w:rsid w:val="599A72B3"/>
    <w:rsid w:val="5E293314"/>
    <w:rsid w:val="5E314FCB"/>
    <w:rsid w:val="63096911"/>
    <w:rsid w:val="66F466BC"/>
    <w:rsid w:val="68755997"/>
    <w:rsid w:val="6B2C30FE"/>
    <w:rsid w:val="6B613896"/>
    <w:rsid w:val="6C9243FD"/>
    <w:rsid w:val="6F6E71EE"/>
    <w:rsid w:val="71FF0DFB"/>
    <w:rsid w:val="72454E19"/>
    <w:rsid w:val="73075B98"/>
    <w:rsid w:val="74B44196"/>
    <w:rsid w:val="7CD5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FootnoteText"/>
    <w:basedOn w:val="1"/>
    <w:qFormat/>
    <w:uiPriority w:val="0"/>
    <w:pPr>
      <w:snapToGrid w:val="0"/>
      <w:spacing w:line="360" w:lineRule="auto"/>
      <w:ind w:firstLine="200" w:firstLineChars="200"/>
      <w:jc w:val="left"/>
      <w:textAlignment w:val="baseline"/>
    </w:p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font51"/>
    <w:basedOn w:val="8"/>
    <w:qFormat/>
    <w:uiPriority w:val="0"/>
    <w:rPr>
      <w:rFonts w:hint="eastAsia" w:ascii="方正仿宋_GBK" w:hAnsi="方正仿宋_GBK" w:eastAsia="方正仿宋_GBK" w:cs="方正仿宋_GBK"/>
      <w:b/>
      <w:color w:val="000000"/>
      <w:sz w:val="28"/>
      <w:szCs w:val="28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2019-07-31T07:38:00Z</dcterms:created>
  <dc:creator>Administrator</dc:creator>
  <cp:lastModifiedBy>my⃠</cp:lastModifiedBy>
  <cp:lastPrinted>2021-03-27T01:44:00Z</cp:lastPrinted>
  <dcterms:modified xsi:type="dcterms:W3CDTF">2022-02-19T06:00:48Z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0_embed</vt:lpwstr>
  </property>
  <property fmtid="{D5CDD505-2E9C-101B-9397-08002B2CF9AE}" pid="4" name="ICV">
    <vt:lpwstr>691B298944E84D6786F59E41EC49396B</vt:lpwstr>
  </property>
</Properties>
</file>