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87" w:firstLineChars="0"/>
        <w:jc w:val="center"/>
        <w:textAlignment w:val="auto"/>
        <w:rPr>
          <w:rFonts w:hint="eastAsia" w:ascii="文星标宋" w:hAnsi="文星标宋" w:eastAsia="文星标宋" w:cs="文星标宋"/>
          <w:b w:val="0"/>
          <w:bCs w:val="0"/>
          <w:i w:val="0"/>
          <w:iCs w:val="0"/>
          <w:caps w:val="0"/>
          <w:color w:val="272636"/>
          <w:spacing w:val="0"/>
          <w:sz w:val="44"/>
          <w:szCs w:val="44"/>
          <w:shd w:val="clear" w:fill="FFFFFF"/>
        </w:rPr>
      </w:pPr>
      <w:r>
        <w:rPr>
          <w:rFonts w:hint="eastAsia" w:ascii="文星标宋" w:hAnsi="文星标宋" w:eastAsia="文星标宋" w:cs="文星标宋"/>
          <w:b w:val="0"/>
          <w:bCs w:val="0"/>
          <w:i w:val="0"/>
          <w:iCs w:val="0"/>
          <w:caps w:val="0"/>
          <w:color w:val="272636"/>
          <w:spacing w:val="0"/>
          <w:sz w:val="44"/>
          <w:szCs w:val="44"/>
          <w:shd w:val="clear" w:fill="FFFFFF"/>
        </w:rPr>
        <w:t>政策解读：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87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656565"/>
          <w:spacing w:val="0"/>
          <w:sz w:val="44"/>
          <w:szCs w:val="44"/>
          <w:shd w:val="clear" w:fill="FFFFFF"/>
        </w:rPr>
      </w:pPr>
      <w:r>
        <w:rPr>
          <w:rFonts w:hint="eastAsia" w:ascii="文星标宋" w:hAnsi="文星标宋" w:eastAsia="文星标宋" w:cs="文星标宋"/>
          <w:b w:val="0"/>
          <w:bCs w:val="0"/>
          <w:i w:val="0"/>
          <w:iCs w:val="0"/>
          <w:caps w:val="0"/>
          <w:color w:val="272636"/>
          <w:spacing w:val="0"/>
          <w:sz w:val="44"/>
          <w:szCs w:val="44"/>
          <w:shd w:val="clear" w:fill="FFFFFF"/>
        </w:rPr>
        <w:t>《</w:t>
      </w:r>
      <w:bookmarkStart w:id="0" w:name="_GoBack"/>
      <w:r>
        <w:rPr>
          <w:rFonts w:hint="eastAsia" w:ascii="文星标宋" w:hAnsi="文星标宋" w:eastAsia="文星标宋" w:cs="文星标宋"/>
          <w:b w:val="0"/>
          <w:bCs w:val="0"/>
          <w:i w:val="0"/>
          <w:iCs w:val="0"/>
          <w:caps w:val="0"/>
          <w:color w:val="272636"/>
          <w:spacing w:val="0"/>
          <w:sz w:val="44"/>
          <w:szCs w:val="44"/>
          <w:shd w:val="clear" w:fill="FFFFFF"/>
          <w:lang w:eastAsia="zh-CN"/>
        </w:rPr>
        <w:t>延津县</w:t>
      </w:r>
      <w:r>
        <w:rPr>
          <w:rFonts w:hint="eastAsia" w:ascii="文星标宋" w:hAnsi="文星标宋" w:eastAsia="文星标宋" w:cs="文星标宋"/>
          <w:b w:val="0"/>
          <w:bCs w:val="0"/>
          <w:i w:val="0"/>
          <w:iCs w:val="0"/>
          <w:caps w:val="0"/>
          <w:color w:val="272636"/>
          <w:spacing w:val="0"/>
          <w:sz w:val="44"/>
          <w:szCs w:val="44"/>
          <w:shd w:val="clear" w:fill="FFFFFF"/>
        </w:rPr>
        <w:t>中小企业纾困帮扶政策措施</w:t>
      </w:r>
      <w:bookmarkEnd w:id="0"/>
      <w:r>
        <w:rPr>
          <w:rFonts w:hint="eastAsia" w:ascii="文星标宋" w:hAnsi="文星标宋" w:eastAsia="文星标宋" w:cs="文星标宋"/>
          <w:b w:val="0"/>
          <w:bCs w:val="0"/>
          <w:i w:val="0"/>
          <w:iCs w:val="0"/>
          <w:caps w:val="0"/>
          <w:color w:val="272636"/>
          <w:spacing w:val="0"/>
          <w:sz w:val="44"/>
          <w:szCs w:val="44"/>
          <w:shd w:val="clear" w:fill="FFFFFF"/>
        </w:rPr>
        <w:t>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caps w:val="0"/>
          <w:color w:val="656565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65656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为进一步加大中小企业纾困帮扶力度，提振中小企业发展信心，促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进中小企业平稳健康发展，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延津县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聚焦问题，靶向施策、精准发力，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结合《国务院办公厅关于进一步加大对中小企业纾困帮扶力度的通知》（国办发〔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45号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）、《河南省人民政府办公厅关于印发中小企业纾困帮扶政策措施的通知》（豫政办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76号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）、《新乡市人民政府办公室关于印发中小企业纾困帮扶政策措施的通知》（新政办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14号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）等支持中小企业发展政策，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从资金支持、减税降费、金融服务、要素保障、稳岗扩岗、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权益保障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、扩大市场、人才支撑和企业帮扶等9个方面提出2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条精准帮扶措施，形成支持中小企业发展的政策合力，更好推动我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中小企业平稳健康发展。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一是在加强金融资金支持方面。包含安排中小企业纾困资金、发挥融资奖补资金作用、落实创业担保贷款贴息及奖补政策、强化金融政策引导、引导企业对接资本市场等措施。主要包括对当年新招用符合创业担保贷款申请条件的小微企业，最高给予300万元的创业担保贷款，并予以贴息支持;对建立研发预算制度、拥有知识产权的企业根据其上年度研发费用情况，给予最高200万元的后补助支持;引导政府性融资担保机构逐步将支农支小平均担保费率降至1%以下等具体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是在减轻企业负担方面。包含推进减税政策落实、落开展中小企业款项清理行动、加快推进企业投资项目承诺制改革、建立中小企数字化赋能体系等措施。主要包括全面落实月销售额15万元以下的小规模纳税人免征增值税等税收优惠政策;涉企收费省定涉企行政事业性“零收费”项目只减不增、标准只降不升;10KV用户电力接入工程涉及破路、破绿、占地等线上并联审批时限不超过5个工作日;对恶意拖欠中小企业款项的大型企业、行政事业单位，在信用中国等信息共享平台进行公示等具体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三是在稳定市场主体方面。包含落实稳岗扩就业政策、支持职工技能提升培训、实施企业家素质提升工程、常态化开展企业帮扶、持续优化营商环境等措施。主要包括对开展企业新型学徒制培训的企业，按中级工每人每年5000元、高级工每人每年6000元标准，可预先支付40%的培训补贴;加强企业家队伍建设，对企业负责人进行提升培育;推进工程建设项目审批制度改革，逐步实行全流程电子证照、电子批文、电子签章，加强审批过程信息共享等具体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《措施》呈现以下三个特点：一是突出政策针对性，为中小企业精准纾困。我县中小企业数量众多、牵涉面广，加大对中小企业纾困帮扶力度，既注重普惠性，又聚焦精准发力，让好政策真正落地见效。二是增强政策连续性，助力中小企业长足发展。面对疫情、灾情、市场需求偏弱等因素影响，为持续巩固经济恢复向好的发展势头，在落实既有政策举措的基础上，不断增强了政策的连续性、稳定性和可持续性。三是助企纾困与激发活力并举，加快提升中小企业竞争力。对中小企业纾困帮扶，既着眼当前，也惠及长远，打好政策“组合拳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大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昌黎宋刻本原版W">
    <w:panose1 w:val="00020600040101010101"/>
    <w:charset w:val="86"/>
    <w:family w:val="auto"/>
    <w:pitch w:val="default"/>
    <w:sig w:usb0="8000002F" w:usb1="2A4178EA" w:usb2="00000016" w:usb3="00000000" w:csb0="0004009F" w:csb1="00000000"/>
  </w:font>
  <w:font w:name="汉仪正圆 55繁">
    <w:panose1 w:val="00020600040101010101"/>
    <w:charset w:val="86"/>
    <w:family w:val="auto"/>
    <w:pitch w:val="default"/>
    <w:sig w:usb0="A00002BF" w:usb1="0ACF7CFA" w:usb2="00000016" w:usb3="00000000" w:csb0="0004009F" w:csb1="00000000"/>
  </w:font>
  <w:font w:name="汉仪瑞意宋W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YmJjZjQ4M2RlOTAxZTA2NDcwZWI4ZTRkZmE1NzAifQ=="/>
  </w:docVars>
  <w:rsids>
    <w:rsidRoot w:val="31F554AD"/>
    <w:rsid w:val="087933D0"/>
    <w:rsid w:val="31F554AD"/>
    <w:rsid w:val="48E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1181</Words>
  <Characters>1212</Characters>
  <Lines>0</Lines>
  <Paragraphs>0</Paragraphs>
  <TotalTime>65</TotalTime>
  <ScaleCrop>false</ScaleCrop>
  <LinksUpToDate>false</LinksUpToDate>
  <CharactersWithSpaces>1212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2022-06-13T01:08:00Z</dcterms:created>
  <dc:creator>Administrator</dc:creator>
  <cp:lastModifiedBy>观望</cp:lastModifiedBy>
  <dcterms:modified xsi:type="dcterms:W3CDTF">2022-06-13T03:58:39Z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C6D30207EF4B4F2C8DA000AD4BF7BD7D</vt:lpwstr>
  </property>
</Properties>
</file>