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A9D30">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lang w:eastAsia="zh-CN"/>
        </w:rPr>
        <w:t>延津县</w:t>
      </w:r>
      <w:r>
        <w:rPr>
          <w:rStyle w:val="6"/>
          <w:rFonts w:hint="eastAsia" w:asciiTheme="majorEastAsia" w:hAnsiTheme="majorEastAsia" w:eastAsiaTheme="majorEastAsia" w:cstheme="majorEastAsia"/>
          <w:color w:val="333333"/>
          <w:spacing w:val="23"/>
          <w:sz w:val="44"/>
          <w:szCs w:val="44"/>
        </w:rPr>
        <w:t>市场监督管理局</w:t>
      </w:r>
    </w:p>
    <w:p w14:paraId="3EFDFDCD">
      <w:pPr>
        <w:pStyle w:val="3"/>
        <w:keepNext w:val="0"/>
        <w:keepLines w:val="0"/>
        <w:widowControl/>
        <w:suppressLineNumbers w:val="0"/>
        <w:pBdr>
          <w:bottom w:val="none" w:color="auto" w:sz="0" w:space="0"/>
        </w:pBdr>
        <w:jc w:val="center"/>
        <w:rPr>
          <w:rFonts w:hint="eastAsia" w:asciiTheme="majorEastAsia" w:hAnsiTheme="majorEastAsia" w:eastAsiaTheme="majorEastAsia" w:cstheme="majorEastAsia"/>
          <w:color w:val="333333"/>
          <w:spacing w:val="23"/>
          <w:sz w:val="44"/>
          <w:szCs w:val="44"/>
        </w:rPr>
      </w:pPr>
      <w:r>
        <w:rPr>
          <w:rStyle w:val="6"/>
          <w:rFonts w:hint="eastAsia" w:asciiTheme="majorEastAsia" w:hAnsiTheme="majorEastAsia" w:eastAsiaTheme="majorEastAsia" w:cstheme="majorEastAsia"/>
          <w:color w:val="333333"/>
          <w:spacing w:val="23"/>
          <w:sz w:val="44"/>
          <w:szCs w:val="44"/>
        </w:rPr>
        <w:t>无主涉案财物处理决定书</w:t>
      </w:r>
    </w:p>
    <w:p w14:paraId="0C7C81F6">
      <w:pPr>
        <w:keepNext w:val="0"/>
        <w:keepLines w:val="0"/>
        <w:widowControl/>
        <w:suppressLineNumbers w:val="0"/>
        <w:jc w:val="center"/>
        <w:rPr>
          <w:rFonts w:hint="eastAsia" w:ascii="仿宋" w:hAnsi="仿宋" w:eastAsia="仿宋" w:cs="仿宋"/>
          <w:kern w:val="0"/>
          <w:sz w:val="36"/>
          <w:szCs w:val="36"/>
          <w:lang w:val="en-US" w:eastAsia="zh-CN" w:bidi="ar"/>
        </w:rPr>
      </w:pPr>
      <w:r>
        <w:rPr>
          <w:rFonts w:hint="eastAsia" w:ascii="仿宋" w:hAnsi="仿宋" w:eastAsia="仿宋" w:cs="仿宋"/>
          <w:kern w:val="0"/>
          <w:sz w:val="36"/>
          <w:szCs w:val="36"/>
          <w:lang w:val="en-US" w:eastAsia="zh-CN" w:bidi="ar"/>
        </w:rPr>
        <w:t>延市监无主物处〔2024〕1号</w:t>
      </w:r>
    </w:p>
    <w:p w14:paraId="2E12585A">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textAlignment w:val="auto"/>
        <w:rPr>
          <w:rFonts w:hint="eastAsia" w:ascii="仿宋" w:hAnsi="仿宋" w:eastAsia="仿宋" w:cs="仿宋"/>
          <w:sz w:val="36"/>
          <w:szCs w:val="36"/>
        </w:rPr>
      </w:pPr>
      <w:r>
        <w:rPr>
          <w:rFonts w:hint="eastAsia" w:ascii="仿宋" w:hAnsi="仿宋" w:eastAsia="仿宋" w:cs="仿宋"/>
          <w:sz w:val="36"/>
          <w:szCs w:val="36"/>
        </w:rPr>
        <w:t>2024年</w:t>
      </w:r>
      <w:r>
        <w:rPr>
          <w:rFonts w:hint="eastAsia" w:ascii="仿宋" w:hAnsi="仿宋" w:eastAsia="仿宋" w:cs="仿宋"/>
          <w:sz w:val="36"/>
          <w:szCs w:val="36"/>
          <w:lang w:val="en-US" w:eastAsia="zh-CN"/>
        </w:rPr>
        <w:t>7</w:t>
      </w:r>
      <w:r>
        <w:rPr>
          <w:rFonts w:hint="eastAsia" w:ascii="仿宋" w:hAnsi="仿宋" w:eastAsia="仿宋" w:cs="仿宋"/>
          <w:sz w:val="36"/>
          <w:szCs w:val="36"/>
        </w:rPr>
        <w:t>月2</w:t>
      </w:r>
      <w:r>
        <w:rPr>
          <w:rFonts w:hint="eastAsia" w:ascii="仿宋" w:hAnsi="仿宋" w:eastAsia="仿宋" w:cs="仿宋"/>
          <w:sz w:val="36"/>
          <w:szCs w:val="36"/>
          <w:lang w:val="en-US" w:eastAsia="zh-CN"/>
        </w:rPr>
        <w:t>1</w:t>
      </w:r>
      <w:r>
        <w:rPr>
          <w:rFonts w:hint="eastAsia" w:ascii="仿宋" w:hAnsi="仿宋" w:eastAsia="仿宋" w:cs="仿宋"/>
          <w:sz w:val="36"/>
          <w:szCs w:val="36"/>
        </w:rPr>
        <w:t>日，</w:t>
      </w:r>
      <w:r>
        <w:rPr>
          <w:rFonts w:hint="eastAsia" w:ascii="仿宋" w:hAnsi="仿宋" w:eastAsia="仿宋" w:cs="仿宋"/>
          <w:sz w:val="36"/>
          <w:szCs w:val="36"/>
          <w:lang w:eastAsia="zh-CN"/>
        </w:rPr>
        <w:t>我局</w:t>
      </w:r>
      <w:r>
        <w:rPr>
          <w:rFonts w:hint="eastAsia" w:ascii="仿宋" w:hAnsi="仿宋" w:eastAsia="仿宋" w:cs="仿宋"/>
          <w:sz w:val="36"/>
          <w:szCs w:val="36"/>
        </w:rPr>
        <w:t>接</w:t>
      </w:r>
      <w:r>
        <w:rPr>
          <w:rFonts w:hint="eastAsia" w:ascii="仿宋" w:hAnsi="仿宋" w:eastAsia="仿宋" w:cs="仿宋"/>
          <w:sz w:val="36"/>
          <w:szCs w:val="36"/>
          <w:lang w:eastAsia="zh-CN"/>
        </w:rPr>
        <w:t>群众举报称车</w:t>
      </w:r>
      <w:r>
        <w:rPr>
          <w:rFonts w:hint="eastAsia" w:ascii="仿宋" w:hAnsi="仿宋" w:eastAsia="仿宋" w:cs="仿宋"/>
          <w:sz w:val="36"/>
          <w:szCs w:val="36"/>
        </w:rPr>
        <w:t>牌号豫</w:t>
      </w:r>
      <w:r>
        <w:rPr>
          <w:rFonts w:hint="eastAsia" w:ascii="仿宋" w:hAnsi="仿宋" w:eastAsia="仿宋" w:cs="仿宋"/>
          <w:sz w:val="36"/>
          <w:szCs w:val="36"/>
          <w:lang w:val="en-US" w:eastAsia="zh-CN"/>
        </w:rPr>
        <w:t>A2139L</w:t>
      </w:r>
      <w:r>
        <w:rPr>
          <w:rFonts w:hint="eastAsia" w:ascii="仿宋" w:hAnsi="仿宋" w:eastAsia="仿宋" w:cs="仿宋"/>
          <w:sz w:val="36"/>
          <w:szCs w:val="36"/>
          <w:lang w:eastAsia="zh-CN"/>
        </w:rPr>
        <w:t>冷藏式</w:t>
      </w:r>
      <w:r>
        <w:rPr>
          <w:rFonts w:hint="eastAsia" w:ascii="仿宋" w:hAnsi="仿宋" w:eastAsia="仿宋" w:cs="仿宋"/>
          <w:sz w:val="36"/>
          <w:szCs w:val="36"/>
        </w:rPr>
        <w:t>货车装载</w:t>
      </w:r>
      <w:r>
        <w:rPr>
          <w:rFonts w:hint="eastAsia" w:ascii="仿宋" w:hAnsi="仿宋" w:eastAsia="仿宋" w:cs="仿宋"/>
          <w:sz w:val="36"/>
          <w:szCs w:val="36"/>
          <w:lang w:eastAsia="zh-CN"/>
        </w:rPr>
        <w:t>有违反《中华人民共和国食品安全法》食品</w:t>
      </w:r>
      <w:r>
        <w:rPr>
          <w:rFonts w:hint="eastAsia" w:ascii="仿宋" w:hAnsi="仿宋" w:eastAsia="仿宋" w:cs="仿宋"/>
          <w:sz w:val="36"/>
          <w:szCs w:val="36"/>
        </w:rPr>
        <w:t>。接到</w:t>
      </w:r>
      <w:r>
        <w:rPr>
          <w:rFonts w:hint="eastAsia" w:ascii="仿宋" w:hAnsi="仿宋" w:eastAsia="仿宋" w:cs="仿宋"/>
          <w:sz w:val="36"/>
          <w:szCs w:val="36"/>
          <w:lang w:eastAsia="zh-CN"/>
        </w:rPr>
        <w:t>举报</w:t>
      </w:r>
      <w:r>
        <w:rPr>
          <w:rFonts w:hint="eastAsia" w:ascii="仿宋" w:hAnsi="仿宋" w:eastAsia="仿宋" w:cs="仿宋"/>
          <w:sz w:val="36"/>
          <w:szCs w:val="36"/>
        </w:rPr>
        <w:t>后，</w:t>
      </w:r>
      <w:r>
        <w:rPr>
          <w:rFonts w:hint="eastAsia" w:ascii="仿宋" w:hAnsi="仿宋" w:eastAsia="仿宋" w:cs="仿宋"/>
          <w:sz w:val="36"/>
          <w:szCs w:val="36"/>
          <w:lang w:eastAsia="zh-CN"/>
        </w:rPr>
        <w:t>我局</w:t>
      </w:r>
      <w:r>
        <w:rPr>
          <w:rFonts w:hint="eastAsia" w:ascii="仿宋" w:hAnsi="仿宋" w:eastAsia="仿宋" w:cs="仿宋"/>
          <w:sz w:val="36"/>
          <w:szCs w:val="36"/>
        </w:rPr>
        <w:t>执法人员</w:t>
      </w:r>
      <w:r>
        <w:rPr>
          <w:rFonts w:hint="eastAsia" w:ascii="仿宋" w:hAnsi="仿宋" w:eastAsia="仿宋" w:cs="仿宋"/>
          <w:sz w:val="36"/>
          <w:szCs w:val="36"/>
          <w:lang w:eastAsia="zh-CN"/>
        </w:rPr>
        <w:t>联合新乡市公安局交通管理支队长济高速大队及延津县公安局执法人员对上述车辆进行检查</w:t>
      </w:r>
      <w:r>
        <w:rPr>
          <w:rFonts w:hint="eastAsia" w:ascii="仿宋" w:hAnsi="仿宋" w:eastAsia="仿宋" w:cs="仿宋"/>
          <w:sz w:val="36"/>
          <w:szCs w:val="36"/>
        </w:rPr>
        <w:t>。经查，河南籍司机</w:t>
      </w:r>
      <w:r>
        <w:rPr>
          <w:rFonts w:hint="eastAsia" w:ascii="仿宋" w:hAnsi="仿宋" w:eastAsia="仿宋" w:cs="仿宋"/>
          <w:sz w:val="36"/>
          <w:szCs w:val="36"/>
          <w:lang w:eastAsia="zh-CN"/>
        </w:rPr>
        <w:t>樊永福</w:t>
      </w:r>
      <w:r>
        <w:rPr>
          <w:rFonts w:hint="eastAsia" w:ascii="仿宋" w:hAnsi="仿宋" w:eastAsia="仿宋" w:cs="仿宋"/>
          <w:sz w:val="36"/>
          <w:szCs w:val="36"/>
        </w:rPr>
        <w:t>驾驶的豫</w:t>
      </w:r>
      <w:r>
        <w:rPr>
          <w:rFonts w:hint="eastAsia" w:ascii="仿宋" w:hAnsi="仿宋" w:eastAsia="仿宋" w:cs="仿宋"/>
          <w:sz w:val="36"/>
          <w:szCs w:val="36"/>
          <w:lang w:val="en-US" w:eastAsia="zh-CN"/>
        </w:rPr>
        <w:t>A2139L</w:t>
      </w:r>
      <w:r>
        <w:rPr>
          <w:rFonts w:hint="eastAsia" w:ascii="仿宋" w:hAnsi="仿宋" w:eastAsia="仿宋" w:cs="仿宋"/>
          <w:sz w:val="36"/>
          <w:szCs w:val="36"/>
          <w:lang w:eastAsia="zh-CN"/>
        </w:rPr>
        <w:t>冷藏式</w:t>
      </w:r>
      <w:r>
        <w:rPr>
          <w:rFonts w:hint="eastAsia" w:ascii="仿宋" w:hAnsi="仿宋" w:eastAsia="仿宋" w:cs="仿宋"/>
          <w:sz w:val="36"/>
          <w:szCs w:val="36"/>
        </w:rPr>
        <w:t>货车</w:t>
      </w:r>
      <w:r>
        <w:rPr>
          <w:rFonts w:hint="eastAsia" w:ascii="仿宋" w:hAnsi="仿宋" w:eastAsia="仿宋" w:cs="仿宋"/>
          <w:sz w:val="36"/>
          <w:szCs w:val="36"/>
          <w:lang w:eastAsia="zh-CN"/>
        </w:rPr>
        <w:t>上装载有（外包装</w:t>
      </w:r>
      <w:r>
        <w:rPr>
          <w:rFonts w:hint="eastAsia" w:ascii="仿宋" w:hAnsi="仿宋" w:eastAsia="仿宋" w:cs="仿宋"/>
          <w:sz w:val="36"/>
          <w:szCs w:val="36"/>
          <w:lang w:val="en-US" w:eastAsia="zh-CN"/>
        </w:rPr>
        <w:t>统一印制包装，规格是20公斤/箱，箱顶印制有“冷冻预制肉类食品 LENGDONGYUZHIROULEISHIPIN 安全健康•生态环保 请置于冰箱冷冻库 速冻食品”字样，箱侧印制有“产品类型：冷冻预制肉类食品 保质期：冷冻保存18个月 贮存条件：请于-18°C以下冷冻保存 食用方法：该产品为非即食型产品，需熟制或涮制等烹饪方式，熟制后食用”字样，旁边加贴标签，有“品名：牛副（速冻调剂生制品）、配料：牛副，食用盐，香辛料、食用方法：解冻，卤，煮，烹饪、品执行标准：SB/T10482-2008、生产许可证号：SC11145010502705、净含量：称重、贮存：-18℃以下保存 保质期：18个月、生产日期：2024年3月21日、产地：广西省南宁市、生产商：广西南宁市浦杰食品有限公司、生产地：南宁市江南区群益园艺场二队”字样。</w:t>
      </w:r>
      <w:r>
        <w:rPr>
          <w:rFonts w:hint="eastAsia" w:ascii="仿宋" w:hAnsi="仿宋" w:eastAsia="仿宋" w:cs="仿宋"/>
          <w:sz w:val="36"/>
          <w:szCs w:val="36"/>
          <w:lang w:eastAsia="zh-CN"/>
        </w:rPr>
        <w:t>）</w:t>
      </w:r>
      <w:r>
        <w:rPr>
          <w:rFonts w:hint="eastAsia" w:ascii="仿宋" w:hAnsi="仿宋" w:eastAsia="仿宋" w:cs="仿宋"/>
          <w:sz w:val="36"/>
          <w:szCs w:val="36"/>
          <w:lang w:val="en-US" w:eastAsia="zh-CN"/>
        </w:rPr>
        <w:t>500件牛副产品，每个包装箱为计量称重，每箱约为20公斤左右。</w:t>
      </w:r>
      <w:r>
        <w:rPr>
          <w:rFonts w:hint="eastAsia" w:ascii="仿宋" w:hAnsi="仿宋" w:eastAsia="仿宋" w:cs="仿宋"/>
          <w:sz w:val="36"/>
          <w:szCs w:val="36"/>
        </w:rPr>
        <w:t>2024年</w:t>
      </w:r>
      <w:r>
        <w:rPr>
          <w:rFonts w:hint="eastAsia" w:ascii="仿宋" w:hAnsi="仿宋" w:eastAsia="仿宋" w:cs="仿宋"/>
          <w:sz w:val="36"/>
          <w:szCs w:val="36"/>
          <w:lang w:val="en-US" w:eastAsia="zh-CN"/>
        </w:rPr>
        <w:t>7</w:t>
      </w:r>
      <w:r>
        <w:rPr>
          <w:rFonts w:hint="eastAsia" w:ascii="仿宋" w:hAnsi="仿宋" w:eastAsia="仿宋" w:cs="仿宋"/>
          <w:sz w:val="36"/>
          <w:szCs w:val="36"/>
        </w:rPr>
        <w:t>月</w:t>
      </w:r>
      <w:r>
        <w:rPr>
          <w:rFonts w:hint="eastAsia" w:ascii="仿宋" w:hAnsi="仿宋" w:eastAsia="仿宋" w:cs="仿宋"/>
          <w:sz w:val="36"/>
          <w:szCs w:val="36"/>
          <w:lang w:val="en-US" w:eastAsia="zh-CN"/>
        </w:rPr>
        <w:t>20</w:t>
      </w:r>
      <w:r>
        <w:rPr>
          <w:rFonts w:hint="eastAsia" w:ascii="仿宋" w:hAnsi="仿宋" w:eastAsia="仿宋" w:cs="仿宋"/>
          <w:sz w:val="36"/>
          <w:szCs w:val="36"/>
        </w:rPr>
        <w:t>日，</w:t>
      </w:r>
      <w:r>
        <w:rPr>
          <w:rFonts w:hint="eastAsia" w:ascii="仿宋" w:hAnsi="仿宋" w:eastAsia="仿宋" w:cs="仿宋"/>
          <w:sz w:val="36"/>
          <w:szCs w:val="36"/>
          <w:lang w:eastAsia="zh-CN"/>
        </w:rPr>
        <w:t>发货人通过虚拟电话</w:t>
      </w:r>
      <w:r>
        <w:rPr>
          <w:rFonts w:hint="eastAsia" w:ascii="仿宋" w:hAnsi="仿宋" w:eastAsia="仿宋" w:cs="仿宋"/>
          <w:sz w:val="36"/>
          <w:szCs w:val="36"/>
          <w:lang w:val="en-US" w:eastAsia="zh-CN"/>
        </w:rPr>
        <w:t>18039295085与承运人樊永福</w:t>
      </w:r>
      <w:r>
        <w:rPr>
          <w:rFonts w:hint="eastAsia" w:ascii="仿宋" w:hAnsi="仿宋" w:eastAsia="仿宋" w:cs="仿宋"/>
          <w:sz w:val="36"/>
          <w:szCs w:val="36"/>
        </w:rPr>
        <w:t>约定货至</w:t>
      </w:r>
      <w:r>
        <w:rPr>
          <w:rFonts w:hint="eastAsia" w:ascii="仿宋" w:hAnsi="仿宋" w:eastAsia="仿宋" w:cs="仿宋"/>
          <w:sz w:val="36"/>
          <w:szCs w:val="36"/>
          <w:lang w:eastAsia="zh-CN"/>
        </w:rPr>
        <w:t>沈阳</w:t>
      </w:r>
      <w:r>
        <w:rPr>
          <w:rFonts w:hint="eastAsia" w:ascii="仿宋" w:hAnsi="仿宋" w:eastAsia="仿宋" w:cs="仿宋"/>
          <w:sz w:val="36"/>
          <w:szCs w:val="36"/>
        </w:rPr>
        <w:t>完成交货后结算运费，</w:t>
      </w:r>
      <w:r>
        <w:rPr>
          <w:rFonts w:hint="eastAsia" w:ascii="仿宋" w:hAnsi="仿宋" w:eastAsia="仿宋" w:cs="仿宋"/>
          <w:sz w:val="36"/>
          <w:szCs w:val="36"/>
          <w:lang w:eastAsia="zh-CN"/>
        </w:rPr>
        <w:t>说是车快到沈阳的时候有人提前联系他并将货运至指定地点，承运人樊永福未能提供合法有效的该批产品相关手续。</w:t>
      </w:r>
      <w:r>
        <w:rPr>
          <w:rFonts w:hint="eastAsia" w:ascii="仿宋" w:hAnsi="仿宋" w:eastAsia="仿宋" w:cs="仿宋"/>
          <w:sz w:val="36"/>
          <w:szCs w:val="36"/>
        </w:rPr>
        <w:t>由于发货人使用虚拟号码单向联系，</w:t>
      </w:r>
      <w:r>
        <w:rPr>
          <w:rFonts w:hint="eastAsia" w:ascii="仿宋" w:hAnsi="仿宋" w:eastAsia="仿宋" w:cs="仿宋"/>
          <w:sz w:val="36"/>
          <w:szCs w:val="36"/>
          <w:lang w:eastAsia="zh-CN"/>
        </w:rPr>
        <w:t>樊永福</w:t>
      </w:r>
      <w:r>
        <w:rPr>
          <w:rFonts w:hint="eastAsia" w:ascii="仿宋" w:hAnsi="仿宋" w:eastAsia="仿宋" w:cs="仿宋"/>
          <w:sz w:val="36"/>
          <w:szCs w:val="36"/>
        </w:rPr>
        <w:t>及办案人员未能获取涉案</w:t>
      </w:r>
      <w:r>
        <w:rPr>
          <w:rFonts w:hint="eastAsia" w:ascii="仿宋" w:hAnsi="仿宋" w:eastAsia="仿宋" w:cs="仿宋"/>
          <w:sz w:val="36"/>
          <w:szCs w:val="36"/>
          <w:lang w:eastAsia="zh-CN"/>
        </w:rPr>
        <w:t>牛副（</w:t>
      </w:r>
      <w:r>
        <w:rPr>
          <w:rFonts w:hint="eastAsia" w:ascii="仿宋" w:hAnsi="仿宋" w:eastAsia="仿宋" w:cs="仿宋"/>
          <w:sz w:val="36"/>
          <w:szCs w:val="36"/>
        </w:rPr>
        <w:t>牛肚</w:t>
      </w:r>
      <w:r>
        <w:rPr>
          <w:rFonts w:hint="eastAsia" w:ascii="仿宋" w:hAnsi="仿宋" w:eastAsia="仿宋" w:cs="仿宋"/>
          <w:sz w:val="36"/>
          <w:szCs w:val="36"/>
          <w:lang w:eastAsia="zh-CN"/>
        </w:rPr>
        <w:t>）</w:t>
      </w:r>
      <w:r>
        <w:rPr>
          <w:rFonts w:hint="eastAsia" w:ascii="仿宋" w:hAnsi="仿宋" w:eastAsia="仿宋" w:cs="仿宋"/>
          <w:sz w:val="36"/>
          <w:szCs w:val="36"/>
        </w:rPr>
        <w:t>交易双方身份信息及联系方式。2024年</w:t>
      </w:r>
      <w:r>
        <w:rPr>
          <w:rFonts w:hint="eastAsia" w:ascii="仿宋" w:hAnsi="仿宋" w:eastAsia="仿宋" w:cs="仿宋"/>
          <w:sz w:val="36"/>
          <w:szCs w:val="36"/>
          <w:lang w:val="en-US" w:eastAsia="zh-CN"/>
        </w:rPr>
        <w:t>8</w:t>
      </w:r>
      <w:r>
        <w:rPr>
          <w:rFonts w:hint="eastAsia" w:ascii="仿宋" w:hAnsi="仿宋" w:eastAsia="仿宋" w:cs="仿宋"/>
          <w:sz w:val="36"/>
          <w:szCs w:val="36"/>
        </w:rPr>
        <w:t>月9日，</w:t>
      </w:r>
      <w:r>
        <w:rPr>
          <w:rFonts w:hint="eastAsia" w:ascii="仿宋" w:hAnsi="仿宋" w:eastAsia="仿宋" w:cs="仿宋"/>
          <w:sz w:val="36"/>
          <w:szCs w:val="36"/>
          <w:lang w:eastAsia="zh-CN"/>
        </w:rPr>
        <w:t>延津县市场监督管理局</w:t>
      </w:r>
      <w:r>
        <w:rPr>
          <w:rFonts w:hint="eastAsia" w:ascii="仿宋" w:hAnsi="仿宋" w:eastAsia="仿宋" w:cs="仿宋"/>
          <w:sz w:val="36"/>
          <w:szCs w:val="36"/>
        </w:rPr>
        <w:t>通过</w:t>
      </w:r>
      <w:r>
        <w:rPr>
          <w:rFonts w:hint="eastAsia" w:ascii="仿宋" w:hAnsi="仿宋" w:eastAsia="仿宋" w:cs="仿宋"/>
          <w:sz w:val="36"/>
          <w:szCs w:val="36"/>
          <w:lang w:eastAsia="zh-CN"/>
        </w:rPr>
        <w:t>河南日报发布</w:t>
      </w:r>
      <w:r>
        <w:rPr>
          <w:rFonts w:hint="eastAsia" w:ascii="仿宋" w:hAnsi="仿宋" w:eastAsia="仿宋" w:cs="仿宋"/>
          <w:sz w:val="36"/>
          <w:szCs w:val="36"/>
        </w:rPr>
        <w:t>公告查找涉案牛肚物主，要求其30日内领取并接受调查处理，但在规定期限内无人认领。期间，执法人员对涉案牛肚抽样送</w:t>
      </w:r>
      <w:r>
        <w:rPr>
          <w:rFonts w:hint="eastAsia" w:ascii="仿宋" w:hAnsi="仿宋" w:eastAsia="仿宋" w:cs="仿宋"/>
          <w:sz w:val="36"/>
          <w:szCs w:val="36"/>
          <w:lang w:eastAsia="zh-CN"/>
        </w:rPr>
        <w:t>河南泰庆质量检测有限公司、武汉市华测检测技术有限公司</w:t>
      </w:r>
      <w:r>
        <w:rPr>
          <w:rFonts w:hint="eastAsia" w:ascii="仿宋" w:hAnsi="仿宋" w:eastAsia="仿宋" w:cs="仿宋"/>
          <w:sz w:val="36"/>
          <w:szCs w:val="36"/>
        </w:rPr>
        <w:t>对涉及动物</w:t>
      </w:r>
      <w:r>
        <w:rPr>
          <w:rFonts w:hint="eastAsia" w:ascii="仿宋" w:hAnsi="仿宋" w:eastAsia="仿宋" w:cs="仿宋"/>
          <w:sz w:val="36"/>
          <w:szCs w:val="36"/>
          <w:lang w:eastAsia="zh-CN"/>
        </w:rPr>
        <w:t>检疫检验</w:t>
      </w:r>
      <w:r>
        <w:rPr>
          <w:rFonts w:hint="eastAsia" w:ascii="仿宋" w:hAnsi="仿宋" w:eastAsia="仿宋" w:cs="仿宋"/>
          <w:sz w:val="36"/>
          <w:szCs w:val="36"/>
        </w:rPr>
        <w:t>方面项目进行检测，检验结果为牛病毒性腹泻</w:t>
      </w:r>
      <w:r>
        <w:rPr>
          <w:rFonts w:hint="eastAsia" w:ascii="仿宋" w:hAnsi="仿宋" w:eastAsia="仿宋" w:cs="仿宋"/>
          <w:sz w:val="36"/>
          <w:szCs w:val="36"/>
          <w:lang w:val="en-US" w:eastAsia="zh-CN"/>
        </w:rPr>
        <w:t>/黏膜</w:t>
      </w:r>
      <w:r>
        <w:rPr>
          <w:rFonts w:hint="eastAsia" w:ascii="仿宋" w:hAnsi="仿宋" w:eastAsia="仿宋" w:cs="仿宋"/>
          <w:sz w:val="36"/>
          <w:szCs w:val="36"/>
        </w:rPr>
        <w:t>病毒核酸、</w:t>
      </w:r>
      <w:r>
        <w:rPr>
          <w:rFonts w:hint="eastAsia" w:ascii="仿宋" w:hAnsi="仿宋" w:eastAsia="仿宋" w:cs="仿宋"/>
          <w:sz w:val="36"/>
          <w:szCs w:val="36"/>
          <w:lang w:eastAsia="zh-CN"/>
        </w:rPr>
        <w:t>小反刍兽疫病毒</w:t>
      </w:r>
      <w:r>
        <w:rPr>
          <w:rFonts w:hint="eastAsia" w:ascii="仿宋" w:hAnsi="仿宋" w:eastAsia="仿宋" w:cs="仿宋"/>
          <w:sz w:val="36"/>
          <w:szCs w:val="36"/>
        </w:rPr>
        <w:t>、口蹄疫病毒核酸均为阴性。氯霉素、五氯酚酸钠、克伦特罗、沙丁胺醇</w:t>
      </w:r>
      <w:r>
        <w:rPr>
          <w:rFonts w:hint="eastAsia" w:ascii="仿宋" w:hAnsi="仿宋" w:eastAsia="仿宋" w:cs="仿宋"/>
          <w:sz w:val="36"/>
          <w:szCs w:val="36"/>
          <w:lang w:eastAsia="zh-CN"/>
        </w:rPr>
        <w:t>、莱克多巴胺、呋喃西林代谢物（氨基脲）</w:t>
      </w:r>
      <w:r>
        <w:rPr>
          <w:rFonts w:hint="eastAsia" w:ascii="仿宋" w:hAnsi="仿宋" w:eastAsia="仿宋" w:cs="仿宋"/>
          <w:sz w:val="36"/>
          <w:szCs w:val="36"/>
        </w:rPr>
        <w:t>等</w:t>
      </w:r>
      <w:r>
        <w:rPr>
          <w:rFonts w:hint="eastAsia" w:ascii="仿宋" w:hAnsi="仿宋" w:eastAsia="仿宋" w:cs="仿宋"/>
          <w:sz w:val="36"/>
          <w:szCs w:val="36"/>
          <w:lang w:val="en-US" w:eastAsia="zh-CN"/>
        </w:rPr>
        <w:t>7</w:t>
      </w:r>
      <w:r>
        <w:rPr>
          <w:rFonts w:hint="eastAsia" w:ascii="仿宋" w:hAnsi="仿宋" w:eastAsia="仿宋" w:cs="仿宋"/>
          <w:sz w:val="36"/>
          <w:szCs w:val="36"/>
        </w:rPr>
        <w:t>项符合《食品动物中禁止使用的药物及其他化合物清单》（农业农村部第250号公告）的要求。</w:t>
      </w:r>
    </w:p>
    <w:p w14:paraId="54F59E04">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textAlignment w:val="auto"/>
        <w:rPr>
          <w:rFonts w:hint="eastAsia" w:ascii="仿宋" w:hAnsi="仿宋" w:eastAsia="仿宋" w:cs="仿宋"/>
          <w:sz w:val="36"/>
          <w:szCs w:val="36"/>
        </w:rPr>
      </w:pPr>
    </w:p>
    <w:p w14:paraId="5BFD25F2">
      <w:pPr>
        <w:pStyle w:val="2"/>
        <w:pageBreakBefore w:val="0"/>
        <w:kinsoku/>
        <w:wordWrap/>
        <w:overflowPunct/>
        <w:topLinePunct w:val="0"/>
        <w:autoSpaceDE/>
        <w:autoSpaceDN/>
        <w:bidi w:val="0"/>
        <w:adjustRightInd/>
        <w:snapToGrid/>
        <w:spacing w:line="570" w:lineRule="exact"/>
        <w:ind w:firstLine="720" w:firstLineChars="200"/>
        <w:textAlignment w:val="auto"/>
        <w:rPr>
          <w:rFonts w:hint="eastAsia" w:ascii="仿宋" w:hAnsi="仿宋" w:eastAsia="仿宋" w:cs="仿宋"/>
          <w:b w:val="0"/>
          <w:kern w:val="0"/>
          <w:sz w:val="36"/>
          <w:szCs w:val="36"/>
          <w:lang w:val="en-US" w:eastAsia="zh-CN" w:bidi="ar"/>
        </w:rPr>
      </w:pPr>
      <w:r>
        <w:rPr>
          <w:rFonts w:hint="eastAsia" w:ascii="仿宋" w:hAnsi="仿宋" w:eastAsia="仿宋" w:cs="仿宋"/>
          <w:b w:val="0"/>
          <w:kern w:val="0"/>
          <w:sz w:val="36"/>
          <w:szCs w:val="36"/>
          <w:lang w:val="en-US" w:eastAsia="zh-CN" w:bidi="ar"/>
        </w:rPr>
        <w:t>本案不明物主生产经营未按规定检验检疫的肉类，违反《中华人民共和国食品安全法》第三十四条第八项“禁止生产经营下列食品、食品添加剂、食品相关产品：…（八）未按规定进行检疫或者检疫不合格的肉类，或者未经检验或者检验不合格的肉类制品；…”规定。</w:t>
      </w:r>
    </w:p>
    <w:p w14:paraId="6883AAE7">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1144" w:firstLineChars="318"/>
        <w:textAlignment w:val="auto"/>
        <w:rPr>
          <w:rFonts w:hint="eastAsia" w:ascii="仿宋" w:hAnsi="仿宋" w:eastAsia="仿宋" w:cs="仿宋"/>
          <w:sz w:val="36"/>
          <w:szCs w:val="36"/>
        </w:rPr>
      </w:pPr>
      <w:r>
        <w:rPr>
          <w:rFonts w:hint="eastAsia" w:ascii="仿宋" w:hAnsi="仿宋" w:eastAsia="仿宋" w:cs="仿宋"/>
          <w:sz w:val="36"/>
          <w:szCs w:val="36"/>
        </w:rPr>
        <w:t>依据《中华人民共和国食品安全法》第一百二十三条“违反本法规定，有下列情形之一，尚不构成犯罪的，由县级以上人民政府食品安全监督管理部门没收违法所得和违法生产经营的食品…：（四）经营未按规定进行检疫或者检疫不合格的肉类，或者生产经营未经检验或者检验不合格的肉类制品；…”，以及《市场监督管理行政处罚程序规定》第四十二条第三款“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的规定，本局依法决定拍卖上述涉案牛肚，拍卖后将所得款项上缴国库。上述处理，不免除涉案物主的法律责任。</w:t>
      </w:r>
    </w:p>
    <w:p w14:paraId="07D4E4BE">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textAlignment w:val="auto"/>
        <w:rPr>
          <w:rFonts w:hint="eastAsia" w:ascii="仿宋" w:hAnsi="仿宋" w:eastAsia="仿宋" w:cs="仿宋"/>
          <w:sz w:val="36"/>
          <w:szCs w:val="36"/>
        </w:rPr>
      </w:pPr>
      <w:r>
        <w:rPr>
          <w:rFonts w:hint="eastAsia" w:ascii="仿宋" w:hAnsi="仿宋" w:eastAsia="仿宋" w:cs="仿宋"/>
          <w:sz w:val="36"/>
          <w:szCs w:val="36"/>
        </w:rPr>
        <w:t>本处理决定书通</w:t>
      </w:r>
      <w:r>
        <w:rPr>
          <w:rFonts w:hint="eastAsia" w:ascii="仿宋" w:hAnsi="仿宋" w:eastAsia="仿宋" w:cs="仿宋"/>
          <w:sz w:val="36"/>
          <w:szCs w:val="36"/>
          <w:lang w:eastAsia="zh-CN"/>
        </w:rPr>
        <w:t>过延津县</w:t>
      </w:r>
      <w:r>
        <w:rPr>
          <w:rFonts w:hint="eastAsia" w:ascii="仿宋" w:hAnsi="仿宋" w:eastAsia="仿宋" w:cs="仿宋"/>
          <w:sz w:val="36"/>
          <w:szCs w:val="36"/>
        </w:rPr>
        <w:t>人民政府门户网站公告送达，自公告之日起三十日即视为送达。如对本处理决定不服，被没收财物物主可在收到本处理决定书之日起六十日内向</w:t>
      </w:r>
      <w:r>
        <w:rPr>
          <w:rFonts w:hint="eastAsia" w:ascii="仿宋" w:hAnsi="仿宋" w:eastAsia="仿宋" w:cs="仿宋"/>
          <w:sz w:val="36"/>
          <w:szCs w:val="36"/>
          <w:lang w:eastAsia="zh-CN"/>
        </w:rPr>
        <w:t>延津县</w:t>
      </w:r>
      <w:r>
        <w:rPr>
          <w:rFonts w:hint="eastAsia" w:ascii="仿宋" w:hAnsi="仿宋" w:eastAsia="仿宋" w:cs="仿宋"/>
          <w:sz w:val="36"/>
          <w:szCs w:val="36"/>
        </w:rPr>
        <w:t>人民政府申请行政复议，也可以在六个月内依法向</w:t>
      </w:r>
      <w:r>
        <w:rPr>
          <w:rFonts w:hint="eastAsia" w:ascii="仿宋" w:hAnsi="仿宋" w:eastAsia="仿宋" w:cs="仿宋"/>
          <w:sz w:val="36"/>
          <w:szCs w:val="36"/>
          <w:lang w:eastAsia="zh-CN"/>
        </w:rPr>
        <w:t>延津县</w:t>
      </w:r>
      <w:r>
        <w:rPr>
          <w:rFonts w:hint="eastAsia" w:ascii="仿宋" w:hAnsi="仿宋" w:eastAsia="仿宋" w:cs="仿宋"/>
          <w:sz w:val="36"/>
          <w:szCs w:val="36"/>
        </w:rPr>
        <w:t>人民法院提起诉讼。复议或者诉讼期间，本处理决定不停止执行。</w:t>
      </w:r>
    </w:p>
    <w:p w14:paraId="2014FCE0">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textAlignment w:val="auto"/>
        <w:rPr>
          <w:rFonts w:hint="eastAsia" w:ascii="仿宋" w:hAnsi="仿宋" w:eastAsia="仿宋" w:cs="仿宋"/>
          <w:sz w:val="36"/>
          <w:szCs w:val="36"/>
        </w:rPr>
      </w:pPr>
    </w:p>
    <w:p w14:paraId="0042E4DF">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jc w:val="right"/>
        <w:textAlignment w:val="auto"/>
        <w:rPr>
          <w:rFonts w:hint="eastAsia" w:ascii="仿宋" w:hAnsi="仿宋" w:eastAsia="仿宋" w:cs="仿宋"/>
          <w:sz w:val="36"/>
          <w:szCs w:val="36"/>
        </w:rPr>
      </w:pPr>
      <w:r>
        <w:rPr>
          <w:rFonts w:hint="eastAsia" w:ascii="仿宋" w:hAnsi="仿宋" w:eastAsia="仿宋" w:cs="仿宋"/>
          <w:sz w:val="36"/>
          <w:szCs w:val="36"/>
          <w:lang w:eastAsia="zh-CN"/>
        </w:rPr>
        <w:t>延津县</w:t>
      </w:r>
      <w:r>
        <w:rPr>
          <w:rFonts w:hint="eastAsia" w:ascii="仿宋" w:hAnsi="仿宋" w:eastAsia="仿宋" w:cs="仿宋"/>
          <w:sz w:val="36"/>
          <w:szCs w:val="36"/>
        </w:rPr>
        <w:t>市场监督管理局</w:t>
      </w:r>
    </w:p>
    <w:p w14:paraId="352FF49D">
      <w:pPr>
        <w:pStyle w:val="3"/>
        <w:keepNext w:val="0"/>
        <w:keepLines w:val="0"/>
        <w:pageBreakBefore w:val="0"/>
        <w:widowControl/>
        <w:suppressLineNumbers w:val="0"/>
        <w:kinsoku/>
        <w:wordWrap/>
        <w:overflowPunct/>
        <w:topLinePunct w:val="0"/>
        <w:autoSpaceDE/>
        <w:autoSpaceDN/>
        <w:bidi w:val="0"/>
        <w:adjustRightInd/>
        <w:snapToGrid/>
        <w:spacing w:line="570" w:lineRule="exact"/>
        <w:ind w:left="0" w:firstLine="459"/>
        <w:jc w:val="right"/>
        <w:textAlignment w:val="auto"/>
        <w:rPr>
          <w:rFonts w:hint="eastAsia" w:ascii="仿宋" w:hAnsi="仿宋" w:eastAsia="仿宋" w:cs="仿宋"/>
          <w:sz w:val="36"/>
          <w:szCs w:val="36"/>
        </w:rPr>
      </w:pPr>
      <w:r>
        <w:rPr>
          <w:rFonts w:hint="eastAsia" w:ascii="仿宋" w:hAnsi="仿宋" w:eastAsia="仿宋" w:cs="仿宋"/>
          <w:sz w:val="36"/>
          <w:szCs w:val="36"/>
        </w:rPr>
        <w:t>2024年</w:t>
      </w:r>
      <w:r>
        <w:rPr>
          <w:rFonts w:hint="eastAsia" w:ascii="仿宋" w:hAnsi="仿宋" w:eastAsia="仿宋" w:cs="仿宋"/>
          <w:sz w:val="36"/>
          <w:szCs w:val="36"/>
          <w:lang w:val="en-US" w:eastAsia="zh-CN"/>
        </w:rPr>
        <w:t>10</w:t>
      </w:r>
      <w:r>
        <w:rPr>
          <w:rFonts w:hint="eastAsia" w:ascii="仿宋" w:hAnsi="仿宋" w:eastAsia="仿宋" w:cs="仿宋"/>
          <w:sz w:val="36"/>
          <w:szCs w:val="36"/>
        </w:rPr>
        <w:t>月</w:t>
      </w:r>
      <w:r>
        <w:rPr>
          <w:rFonts w:hint="eastAsia" w:ascii="仿宋" w:hAnsi="仿宋" w:eastAsia="仿宋" w:cs="仿宋"/>
          <w:sz w:val="36"/>
          <w:szCs w:val="36"/>
          <w:lang w:val="en-US" w:eastAsia="zh-CN"/>
        </w:rPr>
        <w:t>11</w:t>
      </w:r>
      <w:bookmarkStart w:id="0" w:name="_GoBack"/>
      <w:bookmarkEnd w:id="0"/>
      <w:r>
        <w:rPr>
          <w:rFonts w:hint="eastAsia" w:ascii="仿宋" w:hAnsi="仿宋" w:eastAsia="仿宋" w:cs="仿宋"/>
          <w:sz w:val="36"/>
          <w:szCs w:val="36"/>
        </w:rPr>
        <w:t>日</w:t>
      </w:r>
    </w:p>
    <w:p w14:paraId="60493BBE">
      <w:pPr>
        <w:pageBreakBefore w:val="0"/>
        <w:kinsoku/>
        <w:wordWrap/>
        <w:overflowPunct/>
        <w:topLinePunct w:val="0"/>
        <w:autoSpaceDE/>
        <w:autoSpaceDN/>
        <w:bidi w:val="0"/>
        <w:adjustRightInd/>
        <w:snapToGrid/>
        <w:spacing w:line="536" w:lineRule="exact"/>
        <w:textAlignment w:val="auto"/>
        <w:rPr>
          <w:rFonts w:hint="eastAsia" w:ascii="仿宋" w:hAnsi="仿宋" w:eastAsia="仿宋" w:cs="仿宋"/>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jJhZDYxOWIwN2UzYzg1YzQ2MmUyN2E3OGNjYWYifQ=="/>
  </w:docVars>
  <w:rsids>
    <w:rsidRoot w:val="5EDC0E3E"/>
    <w:rsid w:val="010D09C0"/>
    <w:rsid w:val="136B277A"/>
    <w:rsid w:val="396F142D"/>
    <w:rsid w:val="458A0EA3"/>
    <w:rsid w:val="56231394"/>
    <w:rsid w:val="5EDC0E3E"/>
    <w:rsid w:val="6AF2448F"/>
    <w:rsid w:val="7177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1445</Words>
  <Characters>1553</Characters>
  <Lines>0</Lines>
  <Paragraphs>0</Paragraphs>
  <TotalTime>0</TotalTime>
  <ScaleCrop>false</ScaleCrop>
  <LinksUpToDate>false</LinksUpToDate>
  <CharactersWithSpaces>1561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2024-10-10T00:54:00Z</dcterms:created>
  <dc:creator>Administrator</dc:creator>
  <cp:lastModifiedBy>Administrator</cp:lastModifiedBy>
  <dcterms:modified xsi:type="dcterms:W3CDTF">2024-10-11T00:12:13Z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C69C266DA2C64DD885F01FC3B0CAEC3E_11</vt:lpwstr>
  </property>
</Properties>
</file>